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EFC06">
      <w:pPr>
        <w:keepNext w:val="0"/>
        <w:keepLines w:val="0"/>
        <w:pageBreakBefore w:val="0"/>
        <w:kinsoku/>
        <w:wordWrap/>
        <w:overflowPunct/>
        <w:topLinePunct w:val="0"/>
        <w:bidi w:val="0"/>
        <w:snapToGrid/>
        <w:spacing w:beforeAutospacing="0" w:afterAutospacing="0" w:line="560" w:lineRule="exact"/>
        <w:jc w:val="both"/>
        <w:textAlignment w:val="auto"/>
        <w:rPr>
          <w:rFonts w:hint="default" w:ascii="Times New Roman" w:hAnsi="Times New Roman" w:eastAsia="方正小标宋简体" w:cs="Times New Roman"/>
          <w:b w:val="0"/>
          <w:bCs w:val="0"/>
          <w:color w:val="auto"/>
          <w:sz w:val="44"/>
          <w:szCs w:val="44"/>
          <w:highlight w:val="none"/>
          <w:lang w:val="en-US" w:eastAsia="zh-CN"/>
        </w:rPr>
      </w:pPr>
    </w:p>
    <w:p w14:paraId="5B57C6CC">
      <w:pPr>
        <w:keepNext w:val="0"/>
        <w:keepLines w:val="0"/>
        <w:pageBreakBefore w:val="0"/>
        <w:kinsoku/>
        <w:wordWrap/>
        <w:overflowPunct/>
        <w:topLinePunct w:val="0"/>
        <w:bidi w:val="0"/>
        <w:snapToGrid/>
        <w:spacing w:beforeAutospacing="0" w:afterAutospacing="0" w:line="560" w:lineRule="exact"/>
        <w:jc w:val="both"/>
        <w:textAlignment w:val="auto"/>
        <w:rPr>
          <w:rFonts w:hint="default" w:ascii="Times New Roman" w:hAnsi="Times New Roman" w:eastAsia="方正小标宋简体" w:cs="Times New Roman"/>
          <w:b w:val="0"/>
          <w:bCs w:val="0"/>
          <w:color w:val="auto"/>
          <w:sz w:val="44"/>
          <w:szCs w:val="44"/>
          <w:highlight w:val="none"/>
          <w:lang w:val="en-US" w:eastAsia="zh-CN"/>
        </w:rPr>
      </w:pPr>
    </w:p>
    <w:p w14:paraId="31A3C31D">
      <w:pPr>
        <w:keepNext w:val="0"/>
        <w:keepLines w:val="0"/>
        <w:pageBreakBefore w:val="0"/>
        <w:kinsoku/>
        <w:wordWrap/>
        <w:overflowPunct/>
        <w:topLinePunct w:val="0"/>
        <w:bidi w:val="0"/>
        <w:snapToGrid/>
        <w:spacing w:beforeAutospacing="0" w:afterAutospacing="0" w:line="560" w:lineRule="exact"/>
        <w:jc w:val="both"/>
        <w:textAlignment w:val="auto"/>
        <w:rPr>
          <w:rFonts w:hint="default" w:ascii="Times New Roman" w:hAnsi="Times New Roman" w:eastAsia="方正小标宋简体" w:cs="Times New Roman"/>
          <w:b w:val="0"/>
          <w:bCs w:val="0"/>
          <w:color w:val="auto"/>
          <w:sz w:val="44"/>
          <w:szCs w:val="44"/>
          <w:highlight w:val="none"/>
          <w:lang w:val="en-US" w:eastAsia="zh-CN"/>
        </w:rPr>
      </w:pPr>
    </w:p>
    <w:p w14:paraId="05AA5127">
      <w:pPr>
        <w:keepNext w:val="0"/>
        <w:keepLines w:val="0"/>
        <w:pageBreakBefore w:val="0"/>
        <w:kinsoku/>
        <w:wordWrap/>
        <w:overflowPunct/>
        <w:topLinePunct w:val="0"/>
        <w:bidi w:val="0"/>
        <w:snapToGrid/>
        <w:spacing w:beforeAutospacing="0" w:afterAutospacing="0" w:line="560" w:lineRule="exact"/>
        <w:jc w:val="center"/>
        <w:textAlignment w:val="auto"/>
        <w:rPr>
          <w:rFonts w:hint="default" w:ascii="Times New Roman" w:hAnsi="Times New Roman" w:eastAsia="方正小标宋简体" w:cs="Times New Roman"/>
          <w:b w:val="0"/>
          <w:bCs w:val="0"/>
          <w:color w:val="auto"/>
          <w:sz w:val="48"/>
          <w:szCs w:val="48"/>
          <w:highlight w:val="none"/>
          <w:lang w:val="en-US" w:eastAsia="zh-CN"/>
        </w:rPr>
      </w:pPr>
      <w:r>
        <w:rPr>
          <w:rFonts w:hint="default" w:ascii="Times New Roman" w:hAnsi="Times New Roman" w:eastAsia="方正小标宋简体" w:cs="Times New Roman"/>
          <w:b w:val="0"/>
          <w:bCs w:val="0"/>
          <w:color w:val="auto"/>
          <w:sz w:val="48"/>
          <w:szCs w:val="48"/>
          <w:highlight w:val="none"/>
          <w:lang w:val="en-US" w:eastAsia="zh-CN"/>
        </w:rPr>
        <w:t>天津市</w:t>
      </w:r>
      <w:r>
        <w:rPr>
          <w:rFonts w:hint="default" w:ascii="Times New Roman" w:hAnsi="Times New Roman" w:eastAsia="方正小标宋简体" w:cs="Times New Roman"/>
          <w:b w:val="0"/>
          <w:bCs w:val="0"/>
          <w:color w:val="auto"/>
          <w:sz w:val="48"/>
          <w:szCs w:val="48"/>
          <w:highlight w:val="none"/>
        </w:rPr>
        <w:t>东丽区</w:t>
      </w:r>
      <w:r>
        <w:rPr>
          <w:rFonts w:hint="default" w:ascii="Times New Roman" w:hAnsi="Times New Roman" w:eastAsia="方正小标宋简体" w:cs="Times New Roman"/>
          <w:b w:val="0"/>
          <w:bCs w:val="0"/>
          <w:color w:val="auto"/>
          <w:sz w:val="48"/>
          <w:szCs w:val="48"/>
          <w:highlight w:val="none"/>
          <w:lang w:val="en-US" w:eastAsia="zh-CN"/>
        </w:rPr>
        <w:t>数字经济</w:t>
      </w:r>
      <w:r>
        <w:rPr>
          <w:rFonts w:hint="default" w:ascii="Times New Roman" w:hAnsi="Times New Roman" w:eastAsia="方正小标宋简体" w:cs="Times New Roman"/>
          <w:b w:val="0"/>
          <w:bCs w:val="0"/>
          <w:color w:val="auto"/>
          <w:sz w:val="48"/>
          <w:szCs w:val="48"/>
          <w:highlight w:val="none"/>
          <w:lang w:eastAsia="zh-CN"/>
        </w:rPr>
        <w:t>“</w:t>
      </w:r>
      <w:r>
        <w:rPr>
          <w:rFonts w:hint="default" w:ascii="Times New Roman" w:hAnsi="Times New Roman" w:eastAsia="方正小标宋简体" w:cs="Times New Roman"/>
          <w:b w:val="0"/>
          <w:bCs w:val="0"/>
          <w:color w:val="auto"/>
          <w:sz w:val="48"/>
          <w:szCs w:val="48"/>
          <w:highlight w:val="none"/>
          <w:lang w:val="en-US" w:eastAsia="zh-CN"/>
        </w:rPr>
        <w:t>十五五</w:t>
      </w:r>
      <w:r>
        <w:rPr>
          <w:rFonts w:hint="default" w:ascii="Times New Roman" w:hAnsi="Times New Roman" w:eastAsia="方正小标宋简体" w:cs="Times New Roman"/>
          <w:b w:val="0"/>
          <w:bCs w:val="0"/>
          <w:color w:val="auto"/>
          <w:sz w:val="48"/>
          <w:szCs w:val="48"/>
          <w:highlight w:val="none"/>
          <w:lang w:eastAsia="zh-CN"/>
        </w:rPr>
        <w:t>”</w:t>
      </w:r>
      <w:r>
        <w:rPr>
          <w:rFonts w:hint="default" w:ascii="Times New Roman" w:hAnsi="Times New Roman" w:eastAsia="方正小标宋简体" w:cs="Times New Roman"/>
          <w:b w:val="0"/>
          <w:bCs w:val="0"/>
          <w:color w:val="auto"/>
          <w:sz w:val="48"/>
          <w:szCs w:val="48"/>
          <w:highlight w:val="none"/>
          <w:lang w:val="en-US" w:eastAsia="zh-CN"/>
        </w:rPr>
        <w:t>规划</w:t>
      </w:r>
    </w:p>
    <w:p w14:paraId="26871B68">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4FB13420">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44458163">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6750C0CC">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577770B5">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0DE9186A">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05B94E16">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38AB4D96">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75643712">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26A6F1C6">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4BA11EFC">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6AE94993">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7CBC3DD0">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4060D1EE">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46FC7A24">
      <w:pPr>
        <w:pStyle w:val="7"/>
        <w:keepNext w:val="0"/>
        <w:keepLines w:val="0"/>
        <w:pageBreakBefore w:val="0"/>
        <w:kinsoku/>
        <w:wordWrap/>
        <w:overflowPunct/>
        <w:topLinePunct w:val="0"/>
        <w:bidi w:val="0"/>
        <w:snapToGrid/>
        <w:spacing w:beforeAutospacing="0" w:afterAutospacing="0" w:line="560" w:lineRule="exact"/>
        <w:jc w:val="center"/>
        <w:rPr>
          <w:rFonts w:hint="eastAsia" w:ascii="楷体_GB2312" w:hAnsi="楷体_GB2312" w:eastAsia="楷体_GB2312" w:cs="楷体_GB2312"/>
          <w:b w:val="0"/>
          <w:bCs w:val="0"/>
          <w:color w:val="auto"/>
          <w:sz w:val="36"/>
          <w:szCs w:val="36"/>
          <w:highlight w:val="none"/>
          <w:lang w:val="en-US" w:eastAsia="zh-CN"/>
        </w:rPr>
      </w:pPr>
    </w:p>
    <w:p w14:paraId="111D7DA5">
      <w:pPr>
        <w:pStyle w:val="8"/>
        <w:jc w:val="center"/>
        <w:rPr>
          <w:rFonts w:hint="default" w:ascii="Times New Roman" w:hAnsi="Times New Roman" w:eastAsia="楷体_GB2312" w:cs="Times New Roman"/>
          <w:b w:val="0"/>
          <w:bCs w:val="0"/>
          <w:color w:val="auto"/>
          <w:spacing w:val="20"/>
          <w:sz w:val="36"/>
          <w:szCs w:val="36"/>
          <w:highlight w:val="none"/>
          <w:lang w:val="en-US" w:eastAsia="zh-CN"/>
        </w:rPr>
      </w:pPr>
      <w:r>
        <w:rPr>
          <w:rFonts w:hint="default" w:ascii="Times New Roman" w:hAnsi="Times New Roman" w:eastAsia="楷体_GB2312" w:cs="Times New Roman"/>
          <w:b w:val="0"/>
          <w:bCs w:val="0"/>
          <w:color w:val="auto"/>
          <w:spacing w:val="20"/>
          <w:sz w:val="36"/>
          <w:szCs w:val="36"/>
          <w:highlight w:val="none"/>
          <w:lang w:val="en-US" w:eastAsia="zh-CN"/>
        </w:rPr>
        <w:t>202</w:t>
      </w:r>
      <w:r>
        <w:rPr>
          <w:rFonts w:hint="eastAsia" w:ascii="Times New Roman" w:eastAsia="楷体_GB2312" w:cs="Times New Roman"/>
          <w:b w:val="0"/>
          <w:bCs w:val="0"/>
          <w:color w:val="auto"/>
          <w:spacing w:val="20"/>
          <w:sz w:val="36"/>
          <w:szCs w:val="36"/>
          <w:highlight w:val="none"/>
          <w:lang w:val="en-US" w:eastAsia="zh-CN"/>
        </w:rPr>
        <w:t>6</w:t>
      </w:r>
      <w:r>
        <w:rPr>
          <w:rFonts w:hint="default" w:ascii="Times New Roman" w:hAnsi="Times New Roman" w:eastAsia="楷体_GB2312" w:cs="Times New Roman"/>
          <w:b w:val="0"/>
          <w:bCs w:val="0"/>
          <w:color w:val="auto"/>
          <w:spacing w:val="20"/>
          <w:sz w:val="36"/>
          <w:szCs w:val="36"/>
          <w:highlight w:val="none"/>
          <w:lang w:val="en-US" w:eastAsia="zh-CN"/>
        </w:rPr>
        <w:t>年</w:t>
      </w:r>
      <w:r>
        <w:rPr>
          <w:rFonts w:hint="eastAsia" w:ascii="Times New Roman" w:eastAsia="楷体_GB2312" w:cs="Times New Roman"/>
          <w:b w:val="0"/>
          <w:bCs w:val="0"/>
          <w:color w:val="auto"/>
          <w:spacing w:val="20"/>
          <w:sz w:val="36"/>
          <w:szCs w:val="36"/>
          <w:highlight w:val="none"/>
          <w:lang w:val="en-US" w:eastAsia="zh-CN"/>
        </w:rPr>
        <w:t>1</w:t>
      </w:r>
      <w:r>
        <w:rPr>
          <w:rFonts w:hint="default" w:ascii="Times New Roman" w:hAnsi="Times New Roman" w:eastAsia="楷体_GB2312" w:cs="Times New Roman"/>
          <w:b w:val="0"/>
          <w:bCs w:val="0"/>
          <w:color w:val="auto"/>
          <w:spacing w:val="20"/>
          <w:sz w:val="36"/>
          <w:szCs w:val="36"/>
          <w:highlight w:val="none"/>
          <w:lang w:val="en-US" w:eastAsia="zh-CN"/>
        </w:rPr>
        <w:t>月</w:t>
      </w:r>
    </w:p>
    <w:p w14:paraId="62303D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sectPr>
          <w:pgSz w:w="11906" w:h="16838"/>
          <w:pgMar w:top="2098" w:right="1474" w:bottom="1984" w:left="1587" w:header="851" w:footer="1587" w:gutter="0"/>
          <w:pgNumType w:fmt="decimal" w:start="1"/>
          <w:cols w:space="0" w:num="1"/>
          <w:rtlGutter w:val="0"/>
          <w:docGrid w:type="lines" w:linePitch="312" w:charSpace="0"/>
        </w:sectPr>
      </w:pPr>
    </w:p>
    <w:sdt>
      <w:sdtPr>
        <w:rPr>
          <w:rFonts w:hint="default" w:ascii="Times New Roman" w:hAnsi="Times New Roman" w:eastAsia="方正小标宋简体" w:cs="Times New Roman"/>
          <w:color w:val="auto"/>
          <w:kern w:val="2"/>
          <w:sz w:val="44"/>
          <w:szCs w:val="44"/>
          <w:highlight w:val="none"/>
          <w:lang w:val="en-US" w:eastAsia="zh-CN" w:bidi="ar-SA"/>
        </w:rPr>
        <w:id w:val="147453979"/>
        <w15:color w:val="DBDBDB"/>
        <w:docPartObj>
          <w:docPartGallery w:val="Table of Contents"/>
          <w:docPartUnique/>
        </w:docPartObj>
      </w:sdtPr>
      <w:sdtEndPr>
        <w:rPr>
          <w:rFonts w:hint="default" w:ascii="Times New Roman" w:hAnsi="Times New Roman" w:eastAsia="宋体" w:cs="Times New Roman"/>
          <w:color w:val="auto"/>
          <w:kern w:val="2"/>
          <w:sz w:val="30"/>
          <w:szCs w:val="30"/>
          <w:highlight w:val="none"/>
          <w:lang w:val="en-US" w:eastAsia="zh-CN" w:bidi="ar-SA"/>
        </w:rPr>
      </w:sdtEndPr>
      <w:sdtContent>
        <w:p w14:paraId="457B38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color w:val="auto"/>
              <w:kern w:val="2"/>
              <w:sz w:val="44"/>
              <w:szCs w:val="44"/>
              <w:highlight w:val="none"/>
              <w:lang w:val="en-US" w:eastAsia="zh-CN" w:bidi="ar-SA"/>
            </w:rPr>
            <w:sectPr>
              <w:footerReference r:id="rId3" w:type="default"/>
              <w:pgSz w:w="11906" w:h="16838"/>
              <w:pgMar w:top="1440" w:right="1800" w:bottom="1440" w:left="2041" w:header="851" w:footer="992" w:gutter="0"/>
              <w:pgNumType w:fmt="decimal" w:start="1"/>
              <w:cols w:space="425" w:num="1"/>
              <w:docGrid w:type="lines" w:linePitch="312" w:charSpace="0"/>
            </w:sectPr>
          </w:pPr>
        </w:p>
        <w:p w14:paraId="0F39D9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highlight w:val="red"/>
              <w:lang w:eastAsia="zh-CN"/>
            </w:rPr>
          </w:pPr>
          <w:r>
            <w:rPr>
              <w:rFonts w:hint="default" w:ascii="Times New Roman" w:hAnsi="Times New Roman" w:eastAsia="方正小标宋简体" w:cs="Times New Roman"/>
              <w:color w:val="auto"/>
              <w:sz w:val="44"/>
              <w:szCs w:val="44"/>
              <w:highlight w:val="none"/>
            </w:rPr>
            <w:t>目</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录</w:t>
          </w:r>
        </w:p>
        <w:p w14:paraId="3A368A15">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TOC \o "1-2" \h \u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_Toc6173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rPr>
            <w:t>一、</w:t>
          </w:r>
          <w:r>
            <w:rPr>
              <w:rFonts w:hint="default" w:ascii="Times New Roman" w:hAnsi="Times New Roman" w:eastAsia="黑体" w:cs="Times New Roman"/>
              <w:bCs w:val="0"/>
              <w:sz w:val="32"/>
              <w:szCs w:val="32"/>
              <w:highlight w:val="none"/>
              <w:lang w:val="en-US" w:eastAsia="zh-CN"/>
            </w:rPr>
            <w:t>发展现状和形势</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_Toc6173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75C16535">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楷体_GB2312" w:cs="Times New Roman"/>
              <w:bCs/>
              <w:kern w:val="2"/>
              <w:sz w:val="32"/>
              <w:szCs w:val="32"/>
              <w:highlight w:val="none"/>
              <w:lang w:val="en-US" w:eastAsia="zh-CN" w:bidi="ar-SA"/>
            </w:rPr>
          </w:pP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HYPERLINK \l _Toc17923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（一）发展现状</w:t>
          </w:r>
          <w:r>
            <w:rPr>
              <w:rFonts w:hint="default" w:ascii="Times New Roman" w:hAnsi="Times New Roman" w:eastAsia="楷体_GB2312" w:cs="Times New Roman"/>
              <w:bCs/>
              <w:kern w:val="2"/>
              <w:sz w:val="32"/>
              <w:szCs w:val="32"/>
              <w:highlight w:val="none"/>
              <w:lang w:val="en-US" w:eastAsia="zh-CN" w:bidi="ar-SA"/>
            </w:rPr>
            <w:tab/>
          </w: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PAGEREF _Toc17923 \h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2</w:t>
          </w:r>
          <w:r>
            <w:rPr>
              <w:rFonts w:hint="default" w:ascii="Times New Roman" w:hAnsi="Times New Roman" w:eastAsia="楷体_GB2312" w:cs="Times New Roman"/>
              <w:bCs/>
              <w:kern w:val="2"/>
              <w:sz w:val="32"/>
              <w:szCs w:val="32"/>
              <w:highlight w:val="none"/>
              <w:lang w:val="en-US" w:eastAsia="zh-CN" w:bidi="ar-SA"/>
            </w:rPr>
            <w:fldChar w:fldCharType="end"/>
          </w:r>
          <w:r>
            <w:rPr>
              <w:rFonts w:hint="default" w:ascii="Times New Roman" w:hAnsi="Times New Roman" w:eastAsia="楷体_GB2312" w:cs="Times New Roman"/>
              <w:bCs/>
              <w:kern w:val="2"/>
              <w:sz w:val="32"/>
              <w:szCs w:val="32"/>
              <w:highlight w:val="none"/>
              <w:lang w:val="en-US" w:eastAsia="zh-CN" w:bidi="ar-SA"/>
            </w:rPr>
            <w:fldChar w:fldCharType="end"/>
          </w:r>
        </w:p>
        <w:p w14:paraId="6CA711C0">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楷体_GB2312" w:cs="Times New Roman"/>
              <w:bCs/>
              <w:kern w:val="2"/>
              <w:sz w:val="32"/>
              <w:szCs w:val="32"/>
              <w:highlight w:val="none"/>
              <w:lang w:val="en-US" w:eastAsia="zh-CN" w:bidi="ar-SA"/>
            </w:rPr>
          </w:pP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HYPERLINK \l _Toc27185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（二）面临形势</w:t>
          </w:r>
          <w:r>
            <w:rPr>
              <w:rFonts w:hint="default" w:ascii="Times New Roman" w:hAnsi="Times New Roman" w:eastAsia="楷体_GB2312" w:cs="Times New Roman"/>
              <w:bCs/>
              <w:kern w:val="2"/>
              <w:sz w:val="32"/>
              <w:szCs w:val="32"/>
              <w:highlight w:val="none"/>
              <w:lang w:val="en-US" w:eastAsia="zh-CN" w:bidi="ar-SA"/>
            </w:rPr>
            <w:tab/>
          </w: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PAGEREF _Toc27185 \h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5</w:t>
          </w:r>
          <w:r>
            <w:rPr>
              <w:rFonts w:hint="default" w:ascii="Times New Roman" w:hAnsi="Times New Roman" w:eastAsia="楷体_GB2312" w:cs="Times New Roman"/>
              <w:bCs/>
              <w:kern w:val="2"/>
              <w:sz w:val="32"/>
              <w:szCs w:val="32"/>
              <w:highlight w:val="none"/>
              <w:lang w:val="en-US" w:eastAsia="zh-CN" w:bidi="ar-SA"/>
            </w:rPr>
            <w:fldChar w:fldCharType="end"/>
          </w:r>
          <w:r>
            <w:rPr>
              <w:rFonts w:hint="default" w:ascii="Times New Roman" w:hAnsi="Times New Roman" w:eastAsia="楷体_GB2312" w:cs="Times New Roman"/>
              <w:bCs/>
              <w:kern w:val="2"/>
              <w:sz w:val="32"/>
              <w:szCs w:val="32"/>
              <w:highlight w:val="none"/>
              <w:lang w:val="en-US" w:eastAsia="zh-CN" w:bidi="ar-SA"/>
            </w:rPr>
            <w:fldChar w:fldCharType="end"/>
          </w:r>
        </w:p>
        <w:p w14:paraId="328C819B">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_Toc15668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rPr>
            <w:t>二、</w:t>
          </w:r>
          <w:r>
            <w:rPr>
              <w:rFonts w:hint="default" w:ascii="Times New Roman" w:hAnsi="Times New Roman" w:eastAsia="黑体" w:cs="Times New Roman"/>
              <w:bCs w:val="0"/>
              <w:sz w:val="32"/>
              <w:szCs w:val="32"/>
              <w:highlight w:val="none"/>
              <w:lang w:val="en-US" w:eastAsia="zh-CN"/>
            </w:rPr>
            <w:t>总体要求</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_Toc15668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6</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0BB3D530">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楷体_GB2312" w:cs="Times New Roman"/>
              <w:bCs/>
              <w:kern w:val="2"/>
              <w:sz w:val="32"/>
              <w:szCs w:val="32"/>
              <w:highlight w:val="none"/>
              <w:lang w:val="en-US" w:eastAsia="zh-CN" w:bidi="ar-SA"/>
            </w:rPr>
          </w:pP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HYPERLINK \l _Toc27120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（一）指导思想</w:t>
          </w:r>
          <w:r>
            <w:rPr>
              <w:rFonts w:hint="default" w:ascii="Times New Roman" w:hAnsi="Times New Roman" w:eastAsia="楷体_GB2312" w:cs="Times New Roman"/>
              <w:bCs/>
              <w:kern w:val="2"/>
              <w:sz w:val="32"/>
              <w:szCs w:val="32"/>
              <w:highlight w:val="none"/>
              <w:lang w:val="en-US" w:eastAsia="zh-CN" w:bidi="ar-SA"/>
            </w:rPr>
            <w:tab/>
          </w: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PAGEREF _Toc27120 \h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6</w:t>
          </w:r>
          <w:r>
            <w:rPr>
              <w:rFonts w:hint="default" w:ascii="Times New Roman" w:hAnsi="Times New Roman" w:eastAsia="楷体_GB2312" w:cs="Times New Roman"/>
              <w:bCs/>
              <w:kern w:val="2"/>
              <w:sz w:val="32"/>
              <w:szCs w:val="32"/>
              <w:highlight w:val="none"/>
              <w:lang w:val="en-US" w:eastAsia="zh-CN" w:bidi="ar-SA"/>
            </w:rPr>
            <w:fldChar w:fldCharType="end"/>
          </w:r>
          <w:r>
            <w:rPr>
              <w:rFonts w:hint="default" w:ascii="Times New Roman" w:hAnsi="Times New Roman" w:eastAsia="楷体_GB2312" w:cs="Times New Roman"/>
              <w:bCs/>
              <w:kern w:val="2"/>
              <w:sz w:val="32"/>
              <w:szCs w:val="32"/>
              <w:highlight w:val="none"/>
              <w:lang w:val="en-US" w:eastAsia="zh-CN" w:bidi="ar-SA"/>
            </w:rPr>
            <w:fldChar w:fldCharType="end"/>
          </w:r>
        </w:p>
        <w:p w14:paraId="778FDBCF">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楷体_GB2312" w:cs="Times New Roman"/>
              <w:bCs/>
              <w:kern w:val="2"/>
              <w:sz w:val="32"/>
              <w:szCs w:val="32"/>
              <w:highlight w:val="none"/>
              <w:lang w:val="en-US" w:eastAsia="zh-CN" w:bidi="ar-SA"/>
            </w:rPr>
          </w:pP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HYPERLINK \l _Toc1309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（二）发展原则</w:t>
          </w:r>
          <w:r>
            <w:rPr>
              <w:rFonts w:hint="default" w:ascii="Times New Roman" w:hAnsi="Times New Roman" w:eastAsia="楷体_GB2312" w:cs="Times New Roman"/>
              <w:bCs/>
              <w:kern w:val="2"/>
              <w:sz w:val="32"/>
              <w:szCs w:val="32"/>
              <w:highlight w:val="none"/>
              <w:lang w:val="en-US" w:eastAsia="zh-CN" w:bidi="ar-SA"/>
            </w:rPr>
            <w:tab/>
          </w: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PAGEREF _Toc1309 \h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7</w:t>
          </w:r>
          <w:r>
            <w:rPr>
              <w:rFonts w:hint="default" w:ascii="Times New Roman" w:hAnsi="Times New Roman" w:eastAsia="楷体_GB2312" w:cs="Times New Roman"/>
              <w:bCs/>
              <w:kern w:val="2"/>
              <w:sz w:val="32"/>
              <w:szCs w:val="32"/>
              <w:highlight w:val="none"/>
              <w:lang w:val="en-US" w:eastAsia="zh-CN" w:bidi="ar-SA"/>
            </w:rPr>
            <w:fldChar w:fldCharType="end"/>
          </w:r>
          <w:r>
            <w:rPr>
              <w:rFonts w:hint="default" w:ascii="Times New Roman" w:hAnsi="Times New Roman" w:eastAsia="楷体_GB2312" w:cs="Times New Roman"/>
              <w:bCs/>
              <w:kern w:val="2"/>
              <w:sz w:val="32"/>
              <w:szCs w:val="32"/>
              <w:highlight w:val="none"/>
              <w:lang w:val="en-US" w:eastAsia="zh-CN" w:bidi="ar-SA"/>
            </w:rPr>
            <w:fldChar w:fldCharType="end"/>
          </w:r>
        </w:p>
        <w:p w14:paraId="0D14A8B1">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楷体_GB2312" w:cs="Times New Roman"/>
              <w:bCs/>
              <w:kern w:val="2"/>
              <w:sz w:val="32"/>
              <w:szCs w:val="32"/>
              <w:highlight w:val="none"/>
              <w:lang w:val="en-US" w:eastAsia="zh-CN" w:bidi="ar-SA"/>
            </w:rPr>
          </w:pP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HYPERLINK \l _Toc22371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（三）发展目标</w:t>
          </w:r>
          <w:r>
            <w:rPr>
              <w:rFonts w:hint="default" w:ascii="Times New Roman" w:hAnsi="Times New Roman" w:eastAsia="楷体_GB2312" w:cs="Times New Roman"/>
              <w:bCs/>
              <w:kern w:val="2"/>
              <w:sz w:val="32"/>
              <w:szCs w:val="32"/>
              <w:highlight w:val="none"/>
              <w:lang w:val="en-US" w:eastAsia="zh-CN" w:bidi="ar-SA"/>
            </w:rPr>
            <w:tab/>
          </w:r>
          <w:r>
            <w:rPr>
              <w:rFonts w:hint="default" w:ascii="Times New Roman" w:hAnsi="Times New Roman" w:eastAsia="楷体_GB2312" w:cs="Times New Roman"/>
              <w:bCs/>
              <w:kern w:val="2"/>
              <w:sz w:val="32"/>
              <w:szCs w:val="32"/>
              <w:highlight w:val="none"/>
              <w:lang w:val="en-US" w:eastAsia="zh-CN" w:bidi="ar-SA"/>
            </w:rPr>
            <w:fldChar w:fldCharType="begin"/>
          </w:r>
          <w:r>
            <w:rPr>
              <w:rFonts w:hint="default" w:ascii="Times New Roman" w:hAnsi="Times New Roman" w:eastAsia="楷体_GB2312" w:cs="Times New Roman"/>
              <w:bCs/>
              <w:kern w:val="2"/>
              <w:sz w:val="32"/>
              <w:szCs w:val="32"/>
              <w:highlight w:val="none"/>
              <w:lang w:val="en-US" w:eastAsia="zh-CN" w:bidi="ar-SA"/>
            </w:rPr>
            <w:instrText xml:space="preserve"> PAGEREF _Toc22371 \h </w:instrText>
          </w:r>
          <w:r>
            <w:rPr>
              <w:rFonts w:hint="default" w:ascii="Times New Roman" w:hAnsi="Times New Roman" w:eastAsia="楷体_GB2312" w:cs="Times New Roman"/>
              <w:bCs/>
              <w:kern w:val="2"/>
              <w:sz w:val="32"/>
              <w:szCs w:val="32"/>
              <w:highlight w:val="none"/>
              <w:lang w:val="en-US" w:eastAsia="zh-CN" w:bidi="ar-SA"/>
            </w:rPr>
            <w:fldChar w:fldCharType="separate"/>
          </w:r>
          <w:r>
            <w:rPr>
              <w:rFonts w:hint="default" w:ascii="Times New Roman" w:hAnsi="Times New Roman" w:eastAsia="楷体_GB2312" w:cs="Times New Roman"/>
              <w:bCs/>
              <w:kern w:val="2"/>
              <w:sz w:val="32"/>
              <w:szCs w:val="32"/>
              <w:highlight w:val="none"/>
              <w:lang w:val="en-US" w:eastAsia="zh-CN" w:bidi="ar-SA"/>
            </w:rPr>
            <w:t>9</w:t>
          </w:r>
          <w:r>
            <w:rPr>
              <w:rFonts w:hint="default" w:ascii="Times New Roman" w:hAnsi="Times New Roman" w:eastAsia="楷体_GB2312" w:cs="Times New Roman"/>
              <w:bCs/>
              <w:kern w:val="2"/>
              <w:sz w:val="32"/>
              <w:szCs w:val="32"/>
              <w:highlight w:val="none"/>
              <w:lang w:val="en-US" w:eastAsia="zh-CN" w:bidi="ar-SA"/>
            </w:rPr>
            <w:fldChar w:fldCharType="end"/>
          </w:r>
          <w:r>
            <w:rPr>
              <w:rFonts w:hint="default" w:ascii="Times New Roman" w:hAnsi="Times New Roman" w:eastAsia="楷体_GB2312" w:cs="Times New Roman"/>
              <w:bCs/>
              <w:kern w:val="2"/>
              <w:sz w:val="32"/>
              <w:szCs w:val="32"/>
              <w:highlight w:val="none"/>
              <w:lang w:val="en-US" w:eastAsia="zh-CN" w:bidi="ar-SA"/>
            </w:rPr>
            <w:fldChar w:fldCharType="end"/>
          </w:r>
        </w:p>
        <w:p w14:paraId="7A625455">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_Toc7518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lang w:val="en-US" w:eastAsia="zh-CN"/>
            </w:rPr>
            <w:t>三、完善数字基础设施，打造区域创新发展新动力</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_Toc7518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11</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43ABC712">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_Toc23674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（一）构建高效协同的数字基础设施体系</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_Toc23674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11</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5A3781B3">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_Toc21931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（二）打造数字经济人才实训基地</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_Toc21931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73FCC924">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_Toc18811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（三）强化数字创新策源能力</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_Toc18811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76E03A7E">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_Toc1809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lang w:val="en-US" w:eastAsia="zh-CN"/>
            </w:rPr>
            <w:t>四、引育特色数字产业集群，打造数字产业新生态</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_Toc1809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15</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0D3FC5E1">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_Toc7603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（一）打造数字经济新产业基地</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_Toc7603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15</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791A2345">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_Toc23629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（二）打造数据创新产业基地</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_Toc23629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15</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42DEC8BA">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_Toc1767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（三）深入实施“人工智能+”行动</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_Toc1767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16</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1751BAD0">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_Toc18962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lang w:val="en-US" w:eastAsia="zh-CN"/>
            </w:rPr>
            <w:t>五、推进传统产业智改数转，生产性服务业数智化</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_Toc18962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17</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0EB3029C">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_Toc5399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（一）推动农业数字化智能化发展</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_Toc5399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17</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1CED0945">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_Toc7719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（二）推进制造业数字化智能化升级</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_Toc7719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18</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3804F24D">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_Toc3471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（三）提升服务业数字化智能化水平</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_Toc3471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19</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64B74D93">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_Toc1216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lang w:val="en-US" w:eastAsia="zh-CN"/>
            </w:rPr>
            <w:t>六、深化数字场景示范应用，构建现代化产业体系</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_Toc1216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7E3F88B3">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_Toc24417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（一）打造数字应用场景</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_Toc24417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6FB703A9">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_Toc7569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（二）打造空天信息产业集群</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_Toc7569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29B2A80B">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_Toc3254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（三）构建智能网联汽车产业生态</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_Toc3254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72A865CB">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_Toc18012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（四）推动平台经济规范创新</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_Toc18012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24</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50484D7B">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_Toc14231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lang w:val="en-US" w:eastAsia="zh-CN"/>
            </w:rPr>
            <w:t>七、拓展国内外数智化合作，构建创新协同生态圈</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_Toc14231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26</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0311BAD3">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_Toc12047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（一）推进京津冀数智化协同发展</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_Toc12047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26</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0DE03FD9">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_Toc13857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（二）深化数字经济国际合作</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_Toc13857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27</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0D624A0D">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_Toc11177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lang w:val="en-US" w:eastAsia="zh-CN"/>
            </w:rPr>
            <w:t>八、推进数据要素市场化改革，释放数据融通价值</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_Toc11177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28</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5A211A3E">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_Toc28998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（一）开展数据资源盘点</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_Toc28998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28</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42D1400F">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_Toc6787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（二）培育数据要素市场</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_Toc6787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28</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6BCA17D2">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_Toc10876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（三）推进数据资产价值实现</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_Toc10876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29</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31B6DE0A">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_Toc10677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（四）统筹数据安全与治理</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_Toc10677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30</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379A0D72">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_Toc26639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kern w:val="2"/>
              <w:sz w:val="32"/>
              <w:szCs w:val="32"/>
              <w:highlight w:val="none"/>
              <w:lang w:val="en-US" w:eastAsia="zh-CN" w:bidi="ar-SA"/>
            </w:rPr>
            <w:t>九</w:t>
          </w:r>
          <w:r>
            <w:rPr>
              <w:rFonts w:hint="default" w:ascii="Times New Roman" w:hAnsi="Times New Roman" w:eastAsia="黑体" w:cs="Times New Roman"/>
              <w:bCs w:val="0"/>
              <w:kern w:val="2"/>
              <w:sz w:val="32"/>
              <w:szCs w:val="32"/>
              <w:highlight w:val="none"/>
              <w:lang w:bidi="ar-SA"/>
            </w:rPr>
            <w:t>、</w:t>
          </w:r>
          <w:r>
            <w:rPr>
              <w:rFonts w:hint="default" w:ascii="Times New Roman" w:hAnsi="Times New Roman" w:eastAsia="黑体" w:cs="Times New Roman"/>
              <w:bCs w:val="0"/>
              <w:kern w:val="2"/>
              <w:sz w:val="32"/>
              <w:szCs w:val="32"/>
              <w:highlight w:val="none"/>
              <w:lang w:val="en-US" w:eastAsia="zh-CN" w:bidi="ar-SA"/>
            </w:rPr>
            <w:t>推动区域差异化发展，</w:t>
          </w:r>
          <w:r>
            <w:rPr>
              <w:rFonts w:hint="default" w:ascii="Times New Roman" w:hAnsi="Times New Roman" w:eastAsia="黑体" w:cs="Times New Roman"/>
              <w:bCs w:val="0"/>
              <w:i w:val="0"/>
              <w:iCs w:val="0"/>
              <w:caps w:val="0"/>
              <w:spacing w:val="0"/>
              <w:kern w:val="2"/>
              <w:sz w:val="32"/>
              <w:szCs w:val="32"/>
              <w:highlight w:val="none"/>
              <w:shd w:val="clear"/>
              <w:lang w:bidi="ar-SA"/>
            </w:rPr>
            <w:t>擘画</w:t>
          </w:r>
          <w:r>
            <w:rPr>
              <w:rFonts w:hint="default" w:ascii="Times New Roman" w:hAnsi="Times New Roman" w:eastAsia="黑体" w:cs="Times New Roman"/>
              <w:bCs w:val="0"/>
              <w:kern w:val="2"/>
              <w:sz w:val="32"/>
              <w:szCs w:val="32"/>
              <w:highlight w:val="none"/>
              <w:lang w:val="en-US" w:eastAsia="zh-CN" w:bidi="ar-SA"/>
            </w:rPr>
            <w:t>优势互补创新</w:t>
          </w:r>
          <w:r>
            <w:rPr>
              <w:rFonts w:hint="default" w:ascii="Times New Roman" w:hAnsi="Times New Roman" w:eastAsia="黑体" w:cs="Times New Roman"/>
              <w:bCs w:val="0"/>
              <w:kern w:val="2"/>
              <w:sz w:val="32"/>
              <w:szCs w:val="32"/>
              <w:highlight w:val="none"/>
              <w:lang w:bidi="ar-SA"/>
            </w:rPr>
            <w:t>布局</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_Toc26639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31</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335CD674">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_Toc23713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（一）东丽经开区</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_Toc23713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31</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2386BEA3">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_Toc1273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（二）临空经济区</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_Toc1273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32</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1883981B">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_Toc31478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（三）华明高新区</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_Toc31478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32</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701DD8B1">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_Toc2146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（四）东丽湖现代服务业示范区</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_Toc2146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53DDD833">
          <w:pPr>
            <w:pStyle w:val="13"/>
            <w:keepNext w:val="0"/>
            <w:keepLines w:val="0"/>
            <w:pageBreakBefore w:val="0"/>
            <w:widowControl w:val="0"/>
            <w:tabs>
              <w:tab w:val="right" w:leader="dot" w:pos="8065"/>
            </w:tabs>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_Toc7332 </w:instrText>
          </w:r>
          <w:r>
            <w:rPr>
              <w:rFonts w:hint="default" w:ascii="Times New Roman" w:hAnsi="Times New Roman" w:cs="Times New Roman"/>
              <w:sz w:val="32"/>
              <w:szCs w:val="32"/>
              <w:highlight w:val="none"/>
            </w:rPr>
            <w:fldChar w:fldCharType="separate"/>
          </w:r>
          <w:r>
            <w:rPr>
              <w:rFonts w:hint="default" w:ascii="Times New Roman" w:hAnsi="Times New Roman" w:eastAsia="黑体" w:cs="Times New Roman"/>
              <w:bCs w:val="0"/>
              <w:sz w:val="32"/>
              <w:szCs w:val="32"/>
              <w:highlight w:val="none"/>
              <w:lang w:val="en-US" w:eastAsia="zh-CN"/>
            </w:rPr>
            <w:t>十</w:t>
          </w:r>
          <w:r>
            <w:rPr>
              <w:rFonts w:hint="default" w:ascii="Times New Roman" w:hAnsi="Times New Roman" w:eastAsia="黑体" w:cs="Times New Roman"/>
              <w:bCs w:val="0"/>
              <w:sz w:val="32"/>
              <w:szCs w:val="32"/>
              <w:highlight w:val="none"/>
            </w:rPr>
            <w:t>、保障措施</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_Toc7332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35C93ED5">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_Toc19002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（一）加强统筹协调组织实施力度</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_Toc19002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4B2DBF6A">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_Toc25240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（二）优化金融资源市场配置效率</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_Toc25240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33</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4D14EDA1">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_Toc21898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（三）提升优质人才引进培育水平</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_Toc21898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34</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53B050DA">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_Toc10815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（四）完善数字经济监测评估体系</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_Toc10815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34</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20EF9D05">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_Toc15985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（五）健全数字经济科学治理体系</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_Toc15985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34</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6D3E00EB">
          <w:pPr>
            <w:pStyle w:val="14"/>
            <w:keepNext w:val="0"/>
            <w:keepLines w:val="0"/>
            <w:pageBreakBefore w:val="0"/>
            <w:widowControl w:val="0"/>
            <w:tabs>
              <w:tab w:val="right" w:leader="dot" w:pos="8065"/>
            </w:tabs>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sz w:val="32"/>
              <w:szCs w:val="32"/>
              <w:highlight w:val="none"/>
            </w:rPr>
            <w:instrText xml:space="preserve"> HYPERLINK \l _Toc14870 </w:instrText>
          </w:r>
          <w:r>
            <w:rPr>
              <w:rFonts w:hint="default" w:ascii="Times New Roman" w:hAnsi="Times New Roman" w:cs="Times New Roman"/>
              <w:sz w:val="32"/>
              <w:szCs w:val="32"/>
              <w:highlight w:val="none"/>
            </w:rPr>
            <w:fldChar w:fldCharType="separate"/>
          </w:r>
          <w:r>
            <w:rPr>
              <w:rFonts w:hint="default" w:ascii="Times New Roman" w:hAnsi="Times New Roman" w:eastAsia="楷体_GB2312" w:cs="Times New Roman"/>
              <w:bCs/>
              <w:kern w:val="2"/>
              <w:sz w:val="32"/>
              <w:szCs w:val="32"/>
              <w:highlight w:val="none"/>
              <w:lang w:val="en-US" w:eastAsia="zh-CN" w:bidi="ar-SA"/>
            </w:rPr>
            <w:t>（六）提升数字经济安全保障能力</w:t>
          </w:r>
          <w:r>
            <w:rPr>
              <w:rFonts w:hint="default" w:ascii="Times New Roman" w:hAnsi="Times New Roman" w:cs="Times New Roman"/>
              <w:sz w:val="32"/>
              <w:szCs w:val="32"/>
              <w:highlight w:val="none"/>
            </w:rPr>
            <w:tab/>
          </w: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PAGEREF _Toc14870 \h </w:instrText>
          </w:r>
          <w:r>
            <w:rPr>
              <w:rFonts w:hint="default" w:ascii="Times New Roman" w:hAnsi="Times New Roman" w:cs="Times New Roman"/>
              <w:sz w:val="32"/>
              <w:szCs w:val="32"/>
              <w:highlight w:val="none"/>
            </w:rPr>
            <w:fldChar w:fldCharType="separate"/>
          </w:r>
          <w:r>
            <w:rPr>
              <w:rFonts w:hint="default" w:ascii="Times New Roman" w:hAnsi="Times New Roman" w:cs="Times New Roman"/>
              <w:sz w:val="32"/>
              <w:szCs w:val="32"/>
              <w:highlight w:val="none"/>
            </w:rPr>
            <w:t>34</w:t>
          </w:r>
          <w:r>
            <w:rPr>
              <w:rFonts w:hint="default" w:ascii="Times New Roman" w:hAnsi="Times New Roman" w:cs="Times New Roman"/>
              <w:sz w:val="32"/>
              <w:szCs w:val="32"/>
              <w:highlight w:val="none"/>
            </w:rPr>
            <w:fldChar w:fldCharType="end"/>
          </w:r>
          <w:r>
            <w:rPr>
              <w:rFonts w:hint="default" w:ascii="Times New Roman" w:hAnsi="Times New Roman" w:cs="Times New Roman"/>
              <w:color w:val="auto"/>
              <w:sz w:val="32"/>
              <w:szCs w:val="32"/>
              <w:highlight w:val="none"/>
            </w:rPr>
            <w:fldChar w:fldCharType="end"/>
          </w:r>
        </w:p>
        <w:p w14:paraId="4F4463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cs="Times New Roman"/>
              <w:color w:val="auto"/>
              <w:sz w:val="30"/>
              <w:szCs w:val="30"/>
              <w:highlight w:val="none"/>
            </w:rPr>
          </w:pPr>
          <w:r>
            <w:rPr>
              <w:rFonts w:hint="default" w:ascii="Times New Roman" w:hAnsi="Times New Roman" w:cs="Times New Roman"/>
              <w:color w:val="auto"/>
              <w:sz w:val="32"/>
              <w:szCs w:val="32"/>
              <w:highlight w:val="none"/>
            </w:rPr>
            <w:fldChar w:fldCharType="end"/>
          </w:r>
        </w:p>
      </w:sdtContent>
    </w:sdt>
    <w:p w14:paraId="2730EED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b w:val="0"/>
          <w:bCs w:val="0"/>
          <w:color w:val="auto"/>
          <w:kern w:val="2"/>
          <w:sz w:val="32"/>
          <w:szCs w:val="32"/>
          <w:highlight w:val="none"/>
          <w:lang w:val="en-US" w:eastAsia="zh-CN" w:bidi="ar-SA"/>
        </w:rPr>
        <w:sectPr>
          <w:footerReference r:id="rId4" w:type="default"/>
          <w:pgSz w:w="11906" w:h="16838"/>
          <w:pgMar w:top="1440" w:right="1800" w:bottom="1440" w:left="2041" w:header="851" w:footer="992" w:gutter="0"/>
          <w:pgNumType w:fmt="decimal" w:start="1"/>
          <w:cols w:space="425" w:num="1"/>
          <w:docGrid w:type="lines" w:linePitch="312" w:charSpace="0"/>
        </w:sectPr>
      </w:pPr>
      <w:bookmarkStart w:id="0" w:name="_Toc26948"/>
      <w:bookmarkStart w:id="1" w:name="_Toc32561"/>
      <w:bookmarkStart w:id="2" w:name="_Toc31717"/>
      <w:bookmarkStart w:id="3" w:name="_Toc9020"/>
      <w:bookmarkStart w:id="4" w:name="_Toc15670"/>
      <w:bookmarkStart w:id="5" w:name="_Toc21025"/>
    </w:p>
    <w:p w14:paraId="021059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数字经济是以数据资源为关键要素，以现代信息网络为主要载体，以信息通信技术融合应用、全要素数字化转型为重要推动力，促进公平与效率更加统一的新经济形态。站在统筹中华民族伟大复兴战略全局和世界百年未有之大变局的高度，统筹国内国际两个大局、发展安全两件大事，数字经济发展的关键是通过数据要素的市场化配置，充分发挥海量数据和丰富应用场景优势，促进人工智能等驱动的数字技术和实体经济深度融合，赋能传统产业转型升级、催生新产业新业态新模式，推动生产方式、生活方式和治理方式深刻变革。数字经济是重塑竞争格局、培育经济增长新动能、提升综合竞争力的重要力量，对落实新发展理念、推动高质量发展、构建新发展格局、培育新质生产力等均具有重大战略意义，其作为重组要素资源、重塑经济结构的关键力量，已成为推动区域高质量发展的核心引擎。</w:t>
      </w:r>
    </w:p>
    <w:p w14:paraId="1E9CB2D9">
      <w:pPr>
        <w:pageBreakBefore w:val="0"/>
        <w:kinsoku/>
        <w:wordWrap/>
        <w:overflowPunct/>
        <w:topLinePunct w:val="0"/>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“十五五”是东丽区加快建设科创绿谷、都市新区、经济大区，全面建设社会主义现代化新城区的关键时期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东丽区数字经济进入扩容提质、融合创新、跨越引领的高速发展阶段。为把握数字经济发展战略新机遇，拓展数字经济发展新空间，应对数字经济发展新挑战，推动数字经济高质量可持续发展，依据《天津市东丽区国民经济和社会发展第十五个五年规划纲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征求意见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稿）》《天津市数字经济发展“十五五”规划（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征求意见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稿）》，制定本规划。</w:t>
      </w:r>
    </w:p>
    <w:p w14:paraId="6CA3F682">
      <w:pPr>
        <w:keepNext w:val="0"/>
        <w:keepLines w:val="0"/>
        <w:pageBreakBefore w:val="0"/>
        <w:kinsoku/>
        <w:wordWrap/>
        <w:overflowPunct/>
        <w:topLinePunct w:val="0"/>
        <w:bidi w:val="0"/>
        <w:snapToGrid/>
        <w:spacing w:line="560" w:lineRule="exact"/>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br w:type="page"/>
      </w:r>
    </w:p>
    <w:p w14:paraId="7580B929">
      <w:pPr>
        <w:keepNext w:val="0"/>
        <w:keepLines w:val="0"/>
        <w:pageBreakBefore w:val="0"/>
        <w:widowControl/>
        <w:suppressLineNumbers w:val="0"/>
        <w:kinsoku/>
        <w:wordWrap/>
        <w:overflowPunct/>
        <w:topLinePunct w:val="0"/>
        <w:bidi w:val="0"/>
        <w:snapToGrid/>
        <w:spacing w:beforeAutospacing="0" w:afterAutospacing="0" w:line="560" w:lineRule="exact"/>
        <w:ind w:firstLine="640" w:firstLineChars="200"/>
        <w:jc w:val="both"/>
        <w:outlineLvl w:val="0"/>
        <w:rPr>
          <w:rFonts w:hint="default" w:ascii="Times New Roman" w:hAnsi="Times New Roman" w:eastAsia="黑体" w:cs="Times New Roman"/>
          <w:b w:val="0"/>
          <w:bCs w:val="0"/>
          <w:color w:val="auto"/>
          <w:sz w:val="32"/>
          <w:szCs w:val="32"/>
          <w:highlight w:val="none"/>
        </w:rPr>
      </w:pPr>
      <w:bookmarkStart w:id="6" w:name="_Toc7419"/>
      <w:bookmarkStart w:id="7" w:name="_Toc25565"/>
      <w:bookmarkStart w:id="8" w:name="_Toc13595"/>
      <w:bookmarkStart w:id="9" w:name="_Toc10974"/>
      <w:bookmarkStart w:id="10" w:name="_Toc22393"/>
      <w:bookmarkStart w:id="11" w:name="_Toc6173"/>
      <w:bookmarkStart w:id="12" w:name="_Toc25417"/>
      <w:r>
        <w:rPr>
          <w:rFonts w:hint="default" w:ascii="Times New Roman" w:hAnsi="Times New Roman" w:eastAsia="黑体" w:cs="Times New Roman"/>
          <w:b w:val="0"/>
          <w:bCs w:val="0"/>
          <w:color w:val="auto"/>
          <w:sz w:val="32"/>
          <w:szCs w:val="32"/>
          <w:highlight w:val="none"/>
        </w:rPr>
        <w:t>一、</w:t>
      </w:r>
      <w:bookmarkEnd w:id="6"/>
      <w:r>
        <w:rPr>
          <w:rFonts w:hint="default" w:ascii="Times New Roman" w:hAnsi="Times New Roman" w:eastAsia="黑体" w:cs="Times New Roman"/>
          <w:b w:val="0"/>
          <w:bCs w:val="0"/>
          <w:color w:val="auto"/>
          <w:sz w:val="32"/>
          <w:szCs w:val="32"/>
          <w:highlight w:val="none"/>
          <w:lang w:val="en-US" w:eastAsia="zh-CN"/>
        </w:rPr>
        <w:t>发展现状和形势</w:t>
      </w:r>
      <w:bookmarkEnd w:id="7"/>
      <w:bookmarkEnd w:id="8"/>
      <w:bookmarkEnd w:id="9"/>
      <w:bookmarkEnd w:id="10"/>
      <w:bookmarkEnd w:id="11"/>
      <w:bookmarkEnd w:id="12"/>
    </w:p>
    <w:p w14:paraId="58B65A75">
      <w:pPr>
        <w:pStyle w:val="3"/>
        <w:pageBreakBefore w:val="0"/>
        <w:kinsoku/>
        <w:wordWrap/>
        <w:overflowPunct/>
        <w:topLinePunct w:val="0"/>
        <w:bidi w:val="0"/>
        <w:snapToGrid/>
        <w:spacing w:line="560" w:lineRule="exact"/>
        <w:jc w:val="both"/>
        <w:rPr>
          <w:rFonts w:hint="default" w:ascii="Times New Roman" w:hAnsi="Times New Roman" w:cs="Times New Roman"/>
          <w:color w:val="000000" w:themeColor="text1"/>
          <w:sz w:val="32"/>
          <w:szCs w:val="32"/>
          <w:highlight w:val="none"/>
          <w14:textFill>
            <w14:solidFill>
              <w14:schemeClr w14:val="tx1"/>
            </w14:solidFill>
          </w14:textFill>
        </w:rPr>
      </w:pPr>
      <w:bookmarkStart w:id="13" w:name="_Toc4151"/>
      <w:bookmarkStart w:id="14" w:name="_Toc31712"/>
      <w:bookmarkStart w:id="15" w:name="_Toc27548"/>
      <w:bookmarkStart w:id="16" w:name="_Toc17923"/>
      <w:bookmarkStart w:id="17" w:name="_Toc32765"/>
      <w:bookmarkStart w:id="18" w:name="_Toc30458"/>
      <w:bookmarkStart w:id="19" w:name="_Toc6366"/>
      <w:bookmarkStart w:id="20" w:name="_Toc628"/>
      <w:bookmarkStart w:id="21" w:name="_Toc11686"/>
      <w:r>
        <w:rPr>
          <w:rFonts w:hint="default" w:ascii="Times New Roman" w:hAnsi="Times New Roman" w:cs="Times New Roman"/>
          <w:color w:val="000000" w:themeColor="text1"/>
          <w:sz w:val="32"/>
          <w:szCs w:val="32"/>
          <w:highlight w:val="none"/>
          <w14:textFill>
            <w14:solidFill>
              <w14:schemeClr w14:val="tx1"/>
            </w14:solidFill>
          </w14:textFill>
        </w:rPr>
        <w:t>（一）</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发展现状</w:t>
      </w:r>
      <w:bookmarkEnd w:id="13"/>
      <w:bookmarkEnd w:id="14"/>
      <w:bookmarkEnd w:id="15"/>
      <w:bookmarkEnd w:id="16"/>
    </w:p>
    <w:p w14:paraId="3697431B">
      <w:pPr>
        <w:pageBreakBefore w:val="0"/>
        <w:kinsoku/>
        <w:wordWrap/>
        <w:overflowPunct/>
        <w:topLinePunct w:val="0"/>
        <w:bidi w:val="0"/>
        <w:snapToGrid/>
        <w:spacing w:line="560" w:lineRule="exact"/>
        <w:ind w:firstLine="640" w:firstLineChars="200"/>
        <w:jc w:val="both"/>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四五”时期，东丽区深入实施数字经济发展战略，不断完善数字基础设施，加速培育新业态新模式，积极探索应用场景落地，推进数字产业化和产业数字化取得积极成效。2025年上半年，数字经济及其核心产业规上企业实现营业收入73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亿元，同比增长1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%，产业规模保持高速增长，为经济社会持续健康发展提供了强劲动力。</w:t>
      </w:r>
    </w:p>
    <w:p w14:paraId="2266C3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优化升级数字基础设施，构筑高质量发展新底座。</w:t>
      </w:r>
      <w:r>
        <w:rPr>
          <w:rFonts w:hint="default" w:ascii="Times New Roman" w:hAnsi="Times New Roman" w:eastAsia="仿宋_GB2312" w:cs="Times New Roman"/>
          <w:bCs/>
          <w:color w:val="000000" w:themeColor="text1"/>
          <w:kern w:val="2"/>
          <w:sz w:val="32"/>
          <w:szCs w:val="32"/>
          <w:highlight w:val="none"/>
          <w:lang w:val="en-US" w:eastAsia="zh-CN" w:bidi="ar-SA"/>
          <w14:textFill>
            <w14:solidFill>
              <w14:schemeClr w14:val="tx1"/>
            </w14:solidFill>
          </w14:textFill>
        </w:rPr>
        <w:t>东丽区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通信基础设施支撑能力和建设水平不断提升，截至2025年累计建设6249座5G基站，城市商圈、产业园区、居民社区、交通枢纽等重点区域5G信号已基本实现全覆盖。统筹构建分布式算力节点与边缘数据中心，形成高效协同的“数据处理网络”，有效提升区域算力自主供给水平，实现跨区域算力资源协同调度与联动发展。</w:t>
      </w:r>
    </w:p>
    <w:p w14:paraId="1232BF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充分发挥数据要素作用，激活改革发展新引擎。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系统推进数据要素市场化配置改革，制定公共数据授权运营方案，举办“数据要素×”典型案例征集活动，聚焦工业制造、现代农业、商贸流通等12个行业领域，推动数据多场景应用。积极引育落地一批数据业务服务商，持续探索区属国资监管企业及医疗医保、低空经济等领域数据资产价值化工作，全面激发公共数据与社会数据在多场景下的融合应用价值，为构建活跃、安全的数据要素市场奠定了坚实基础。</w:t>
      </w:r>
    </w:p>
    <w:p w14:paraId="092AC6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大力推进产业数字化转型，赋能实体经济新变革。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农业数字化水平稳步提升，天津市东信花卉有限公司落地全市首笔数据信托业务。工业数字化转型加速，工业企业生产设备数字化率显著提升，天津市永昌焊丝有限公司、天津平高智能电气有限公司等一批企业获批先进级智能工厂。成功打造新一代汽车（智能网联）、新能源、轻工及高端装备等数个百亿级产业链，新材料产业集群产值接近500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以来累计培育打造先进级智能工厂18家，获评国家卓越级智能工厂2家。战略性新兴产业占规上工业的比重高于全市平均水平。服务业数字化快速发展，以中国汽车技术研究中心有限公司、天津华测检测认证有限公司等为代表的生产性服务业发展迅速，工人乐（天津）科技集团股份有限公司等企业拓展业务范围，利用互联网技术实现行业赋能作用，更多企业迈上“云端”。</w:t>
      </w:r>
    </w:p>
    <w:p w14:paraId="79B314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加快推动数字产业化，锻造核心竞争新优势。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数字技术、数据要素、人工智能与各行业加速融合，为数字产业发展开辟广阔空间。“十四五”末，东丽区新增国家高新技术企业226家、总数达到608家，市级专精特新企业达到133家，技术合同交易额达到430亿元，是上个五年的2倍，研发经费支出占GDP的比重达到3.9%。连续成功举办八届世界智能驾驶挑战赛，促进智能网联汽车产业发展。跨境电商蓬勃发展，平台经济初具规模，低空经济产业方兴未艾。</w:t>
      </w:r>
    </w:p>
    <w:p w14:paraId="409F3C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持续提升公共服务数字化水平，绘就普惠便捷新图景。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组建数据局，统筹推进数字东丽、数字经济、数字政府、数字社会规划和建设。推动整合共享区域数据资源，推进数据资源分类分级管理、数据资产登记及公共数据授权运营。确保政务服务事项数据准确发布，全面提升政务服务标准化、规范化、便利化水平。深化智慧图书馆体系建设，推动优质数字阅读资源融入公共文化服务网络。智慧医疗领域，探索“人工智能+”与医疗服务深度融合，有效提升基层诊疗质效。智慧文旅方面，推动相关景区数字化服务全覆盖，优化游客体验。加强信息资源跨部门互联互通，推动大数据、人工智能等技术与城市治理深度融合，实现科学决策、精准服务和高效治理，持续提升区域综合治理效能与数字化发展水平。</w:t>
      </w:r>
    </w:p>
    <w:p w14:paraId="060364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营造数字经济发展良好生态，厚植繁荣有序新沃土。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度融入京津冀数字经济一体化进程，承接相关数字经济领域产业转移和科技成果转化项目。积极对接世界智能产业博览会重点项目5个。对外开放能级持续提升，东丽区外贸进出口额五年年均增长15.6%。与乌兹别克斯坦经贸合作取得实质性进展，投资建设的塔什干海外仓成为拓展中亚市场的重要支点。</w:t>
      </w:r>
    </w:p>
    <w:p w14:paraId="7C67A2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此同时，东丽区数字经济发展也面临一些问题和挑战：数字经济治理体系与数据要素市场化配置机制有待完善，数字创新策源能力不足，数字产业尚未形成具有核心竞争力的产业集群，产业智改数转亟待加速，产业数字融合应用场景须进一步加强，高质量数字人才匮乏，数字经济核心产业发展不均衡、竞争力不足，数据要素价值潜力还未充分释放。</w:t>
      </w:r>
    </w:p>
    <w:bookmarkEnd w:id="17"/>
    <w:bookmarkEnd w:id="18"/>
    <w:bookmarkEnd w:id="19"/>
    <w:bookmarkEnd w:id="20"/>
    <w:bookmarkEnd w:id="21"/>
    <w:p w14:paraId="555546F0">
      <w:pPr>
        <w:pStyle w:val="3"/>
        <w:pageBreakBefore w:val="0"/>
        <w:kinsoku/>
        <w:wordWrap/>
        <w:overflowPunct/>
        <w:topLinePunct w:val="0"/>
        <w:bidi w:val="0"/>
        <w:snapToGrid/>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22" w:name="_Toc29579"/>
      <w:bookmarkStart w:id="23" w:name="_Toc27185"/>
      <w:bookmarkStart w:id="24" w:name="_Toc10229"/>
      <w:bookmarkStart w:id="25" w:name="_Toc26069"/>
      <w:bookmarkStart w:id="26" w:name="_Toc10043"/>
      <w:bookmarkStart w:id="27" w:name="_Toc22248"/>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（二）面临形势</w:t>
      </w:r>
      <w:bookmarkEnd w:id="22"/>
      <w:bookmarkEnd w:id="23"/>
      <w:bookmarkEnd w:id="24"/>
      <w:bookmarkEnd w:id="25"/>
      <w:bookmarkEnd w:id="26"/>
      <w:bookmarkEnd w:id="27"/>
    </w:p>
    <w:p w14:paraId="07E23E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28" w:name="_Toc13659"/>
      <w:bookmarkStart w:id="29" w:name="_Toc29659"/>
      <w:bookmarkStart w:id="30" w:name="_Toc5770"/>
      <w:bookmarkStart w:id="31" w:name="_Toc24361"/>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当前，数字经济已成为经济增长的新引擎与新动能，在推动产业升级、创新发展模式以及提升区域竞争力等方面发挥着至关重要的作用，产业数字化和数字产业化已是大势所趋，东丽区在数字经济高质量发展进程中，面临形势已发生深刻变化。</w:t>
      </w:r>
      <w:bookmarkEnd w:id="28"/>
      <w:bookmarkEnd w:id="29"/>
      <w:bookmarkEnd w:id="30"/>
      <w:bookmarkEnd w:id="31"/>
    </w:p>
    <w:p w14:paraId="571E96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国家战略牵引。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从全国层面看，数字经济已上升为国家战略，数据要素成为与土地、劳动力、资本、技术并列的第五大生产要素，是推动经济高质量发展的核心力量。中央出台一系列政策文件，大力加快新型数字基础设施建设，积极推进数字产业化与产业数字化转型，协同推进技术、模式、业态和制度创新，为经济发展带来强劲动力。</w:t>
      </w:r>
    </w:p>
    <w:p w14:paraId="50709CA0">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区域合作加深。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从区域协同层面看，京津冀数字经济一体化发展进入深度推进阶段，三地建立跨区域数字产业协作机制，推动算力枢纽、数据中心等基础设施互联互通，推进汽车、电子制造等产业集链成群与聚链成势。依托各自要素流动需求强化自身数字经济发展势能。</w:t>
      </w:r>
    </w:p>
    <w:p w14:paraId="00B09D60">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天津试验先行。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从全市层面看，天津市认真贯彻落实国家数字经济高质量发展战略，将数字经济和智慧城市发展纳入重点工作范畴，获批国家数字经济创新发展试验区，设立中国—上海合作组织数字经济合作平台，承担国家数据流通利用基础设施数联网技术路线、全国一体化算力网监测调度试点建设等先行先试任务，数字经济呈现稳中有进的良好态势，成为带动全市新质生产力发展的重要引擎。</w:t>
      </w:r>
    </w:p>
    <w:p w14:paraId="26441BEB">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东丽特色探索。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从全区层面看，依托天津市数字经济发展整体布局，与相关区域协同发展，依托东丽区“6+5”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产业链及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跨境电商、低空经济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智能网联汽车产业等新兴产业，推动传统产业转型升级，探索数据要素融合应用创新场景，形成差异化竞争优势和特色化发展路径，走出符合区情的数字经济高质量发展道路。</w:t>
      </w:r>
    </w:p>
    <w:p w14:paraId="3145AF05">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eastAsia="zh-CN"/>
        </w:rPr>
      </w:pPr>
      <w:bookmarkStart w:id="32" w:name="_Toc15872"/>
      <w:bookmarkStart w:id="33" w:name="_Toc14966"/>
      <w:bookmarkStart w:id="34" w:name="_Toc29293"/>
      <w:bookmarkStart w:id="35" w:name="_Toc20968"/>
      <w:bookmarkStart w:id="36" w:name="_Toc15668"/>
      <w:bookmarkStart w:id="37" w:name="_Toc17296"/>
      <w:bookmarkStart w:id="38" w:name="_Toc18549"/>
      <w:bookmarkStart w:id="39" w:name="_Toc11940"/>
      <w:bookmarkStart w:id="40" w:name="_Toc4605"/>
      <w:r>
        <w:rPr>
          <w:rFonts w:hint="default" w:ascii="Times New Roman" w:hAnsi="Times New Roman" w:eastAsia="黑体" w:cs="Times New Roman"/>
          <w:b w:val="0"/>
          <w:bCs w:val="0"/>
          <w:color w:val="auto"/>
          <w:sz w:val="32"/>
          <w:szCs w:val="32"/>
          <w:highlight w:val="none"/>
        </w:rPr>
        <w:t>二、</w:t>
      </w:r>
      <w:bookmarkEnd w:id="32"/>
      <w:bookmarkEnd w:id="33"/>
      <w:bookmarkEnd w:id="34"/>
      <w:r>
        <w:rPr>
          <w:rFonts w:hint="default" w:ascii="Times New Roman" w:hAnsi="Times New Roman" w:eastAsia="黑体" w:cs="Times New Roman"/>
          <w:b w:val="0"/>
          <w:bCs w:val="0"/>
          <w:color w:val="auto"/>
          <w:sz w:val="32"/>
          <w:szCs w:val="32"/>
          <w:highlight w:val="none"/>
          <w:lang w:val="en-US" w:eastAsia="zh-CN"/>
        </w:rPr>
        <w:t>总体要求</w:t>
      </w:r>
      <w:bookmarkEnd w:id="35"/>
      <w:bookmarkEnd w:id="36"/>
      <w:bookmarkEnd w:id="37"/>
      <w:bookmarkEnd w:id="38"/>
      <w:bookmarkEnd w:id="39"/>
      <w:bookmarkEnd w:id="40"/>
    </w:p>
    <w:p w14:paraId="1127C093">
      <w:pPr>
        <w:pStyle w:val="3"/>
        <w:pageBreakBefore w:val="0"/>
        <w:kinsoku/>
        <w:wordWrap/>
        <w:overflowPunct/>
        <w:topLinePunct w:val="0"/>
        <w:bidi w:val="0"/>
        <w:snapToGrid/>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41" w:name="_Toc22957"/>
      <w:bookmarkStart w:id="42" w:name="_Toc13163"/>
      <w:bookmarkStart w:id="43" w:name="_Toc10169"/>
      <w:bookmarkStart w:id="44" w:name="_Toc19853"/>
      <w:bookmarkStart w:id="45" w:name="_Toc29318"/>
      <w:bookmarkStart w:id="46" w:name="_Toc5007"/>
      <w:bookmarkStart w:id="47" w:name="_Toc18087"/>
      <w:bookmarkStart w:id="48" w:name="_Toc27120"/>
      <w:bookmarkStart w:id="49" w:name="_Toc19465"/>
      <w:bookmarkStart w:id="50" w:name="_Toc22380"/>
      <w:bookmarkStart w:id="51" w:name="_Toc15902"/>
      <w:bookmarkStart w:id="52" w:name="_Toc16014"/>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（一）指导思想</w:t>
      </w:r>
      <w:bookmarkEnd w:id="41"/>
      <w:bookmarkEnd w:id="42"/>
      <w:bookmarkEnd w:id="43"/>
      <w:bookmarkEnd w:id="44"/>
      <w:bookmarkEnd w:id="45"/>
      <w:bookmarkEnd w:id="46"/>
      <w:bookmarkEnd w:id="47"/>
      <w:bookmarkEnd w:id="48"/>
      <w:bookmarkEnd w:id="49"/>
    </w:p>
    <w:p w14:paraId="4FA0C70A">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以习近平新时代中国特色社会主义思想为指导，全面贯彻落实党的二十大和二十届历次全会精神，</w:t>
      </w:r>
      <w:bookmarkStart w:id="53" w:name="OLE_LINK6"/>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深入贯彻落实习近平总书记关于发展数字经济和新质生产力的重要论述以及对天津工作提出的“三个着力”“四个善作善成”重要要求，以数据要素市场化配置改革为主线，</w:t>
      </w:r>
      <w:bookmarkStart w:id="54" w:name="OLE_LINK7"/>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以数据技术创新为引领，</w:t>
      </w:r>
      <w:bookmarkEnd w:id="53"/>
      <w:bookmarkEnd w:id="54"/>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协同推进数字产业化和产业数字化为核心，以数据基础设施建设为支撑，推动以人工智能驱动的数字经济与实体经济深度融合。落实京津冀协同发展国家战略，全面对接天津市“十项行动”等战略部署，坚持战略引领、特色发展、创新驱动、数实融合、场景示范、开放协同、安全筑基，实现传统企业转型升级与新产业新业态新模式培育同步推进，将东丽区打造成为天津市数字经济创新发展高地、京津冀重要的数字产业协同节点，为谱写中国式现代化东丽篇章注入强劲数字动能。</w:t>
      </w:r>
    </w:p>
    <w:p w14:paraId="2CDB7B1C">
      <w:pPr>
        <w:pStyle w:val="3"/>
        <w:pageBreakBefore w:val="0"/>
        <w:kinsoku/>
        <w:wordWrap/>
        <w:overflowPunct/>
        <w:topLinePunct w:val="0"/>
        <w:bidi w:val="0"/>
        <w:snapToGrid/>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55" w:name="_Toc26679"/>
      <w:bookmarkStart w:id="56" w:name="_Toc22561"/>
      <w:bookmarkStart w:id="57" w:name="_Toc31886"/>
      <w:bookmarkStart w:id="58" w:name="_Toc1309"/>
      <w:bookmarkStart w:id="59" w:name="_Toc25311"/>
      <w:bookmarkStart w:id="60" w:name="_Toc7202"/>
      <w:bookmarkStart w:id="61" w:name="_Toc11960"/>
      <w:bookmarkStart w:id="62" w:name="_Toc17167"/>
      <w:bookmarkStart w:id="63" w:name="_Toc215"/>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（二）发展原则</w:t>
      </w:r>
      <w:bookmarkEnd w:id="55"/>
      <w:bookmarkEnd w:id="56"/>
      <w:bookmarkEnd w:id="57"/>
      <w:bookmarkEnd w:id="58"/>
      <w:bookmarkEnd w:id="59"/>
      <w:bookmarkEnd w:id="60"/>
      <w:bookmarkEnd w:id="61"/>
      <w:bookmarkEnd w:id="62"/>
      <w:bookmarkEnd w:id="63"/>
      <w:bookmarkStart w:id="64" w:name="_Toc1751"/>
      <w:bookmarkStart w:id="65" w:name="_Toc20534"/>
      <w:bookmarkStart w:id="66" w:name="_Toc16559"/>
      <w:bookmarkStart w:id="67" w:name="_Toc24599"/>
    </w:p>
    <w:p w14:paraId="21AB48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坚持战略引领，高位对标</w:t>
      </w:r>
      <w:bookmarkEnd w:id="64"/>
      <w:bookmarkEnd w:id="65"/>
      <w:bookmarkEnd w:id="66"/>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紧密衔接国家“数字中国”战略和天津市“十项行动”部署，聚焦天津市建设“人工智能先锋城市”和“国际消费中心城市”目标，抓住天津获批开展国家数字经济创新发展试验区建设的重要机遇，落实京津冀协同发展国家战略，结合东丽区“加快建设科创绿谷、都市新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经济大区，全面建设社会主义现代化新城区”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定位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，打造京津冀数字技术转化枢纽和数据要素应用高地，推动政策、技术、资本等要素高效对接，服务全市数字经济大局。</w:t>
      </w:r>
      <w:bookmarkEnd w:id="67"/>
    </w:p>
    <w:p w14:paraId="0C68C112">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68" w:name="_Toc10011"/>
      <w:bookmarkStart w:id="69" w:name="_Toc4407"/>
      <w:bookmarkStart w:id="70" w:name="_Toc21984"/>
      <w:bookmarkStart w:id="71" w:name="_Toc11293"/>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坚持特色发展，错位竞争</w:t>
      </w:r>
      <w:bookmarkEnd w:id="68"/>
      <w:bookmarkEnd w:id="69"/>
      <w:bookmarkEnd w:id="70"/>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立足东丽区“空铁海”立体交通枢纽、产业优势和生态文旅资源，在人工智能、智能制造、智慧物流、智慧医养等领域探索应用场景落地，差异化布局低空经济、智能网联汽车、数据标注、智慧生态文旅等产业。</w:t>
      </w:r>
      <w:bookmarkEnd w:id="71"/>
    </w:p>
    <w:p w14:paraId="42E379F6">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72" w:name="_Toc8247"/>
      <w:bookmarkStart w:id="73" w:name="_Toc17156"/>
      <w:bookmarkStart w:id="74" w:name="_Toc30798"/>
      <w:bookmarkStart w:id="75" w:name="_Toc2968"/>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坚持创新驱动，前瞻布局</w:t>
      </w:r>
      <w:bookmarkEnd w:id="72"/>
      <w:bookmarkEnd w:id="73"/>
      <w:bookmarkEnd w:id="74"/>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探索布局数字经济前沿领域，打造未来产业发展基础。聚焦新能源、新材料、航空航天、低空经济等战略性新兴产业及量子科技、生物制造、氢能和核聚变能、脑机接口、具身智能、第六代移动通信等未来产业，进行适当超前布局。</w:t>
      </w:r>
      <w:bookmarkEnd w:id="75"/>
    </w:p>
    <w:p w14:paraId="3DDC64F5">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cyan"/>
          <w:lang w:val="en-US" w:eastAsia="zh-CN"/>
          <w14:textFill>
            <w14:solidFill>
              <w14:schemeClr w14:val="tx1"/>
            </w14:solidFill>
          </w14:textFill>
        </w:rPr>
      </w:pPr>
      <w:bookmarkStart w:id="76" w:name="_Toc2672"/>
      <w:bookmarkStart w:id="77" w:name="_Toc1183"/>
      <w:bookmarkStart w:id="78" w:name="_Toc27608"/>
      <w:bookmarkStart w:id="79" w:name="_Toc29812"/>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坚持数实融合，赋能升级</w:t>
      </w:r>
      <w:bookmarkEnd w:id="76"/>
      <w:bookmarkEnd w:id="77"/>
      <w:bookmarkEnd w:id="78"/>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w:t>
      </w:r>
      <w:bookmarkEnd w:id="79"/>
      <w:bookmarkStart w:id="80" w:name="_Toc18804"/>
      <w:bookmarkStart w:id="81" w:name="_Toc22024"/>
      <w:bookmarkStart w:id="82" w:name="_Toc23154"/>
      <w:bookmarkStart w:id="83" w:name="_Toc28202"/>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依托东丽区实体经济基础，推动人工智能、数字技术、数据要素与制造业、服务业、农业深度渗透融合，推进产业数字化转型升级，积极探索创新应用场景，形成示范效应。健全数字技术服务实体经济支撑体系，培育一批数实融合服务商，搭建供需对接平台，围绕特色产业进行布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促进数字资源向实体经济关键领域集聚。</w:t>
      </w:r>
    </w:p>
    <w:p w14:paraId="0EF8956C">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坚持场景驱动，惠民利企</w:t>
      </w:r>
      <w:bookmarkEnd w:id="80"/>
      <w:bookmarkEnd w:id="81"/>
      <w:bookmarkEnd w:id="82"/>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锚定东丽区民生需求痛点与企业发展难点，以“可感知、可复制、可推广”为原则，打造覆盖生产生活全领域的数字场景示范标杆。推进智慧教育、智慧医疗、智慧交通等场景落地，让居民切实享受数字技术带来的便捷与实惠。聚焦中小微企业数字化转型痛点，探索低成本、轻量化的数字化解决方案，推动企业降本增效、提质升级，助力企业发展壮大，形成“场景示范驱动、惠民利企双赢”的良好发展格局。</w:t>
      </w:r>
      <w:bookmarkEnd w:id="83"/>
    </w:p>
    <w:p w14:paraId="49229910">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84" w:name="_Toc27136"/>
      <w:bookmarkStart w:id="85" w:name="_Toc6763"/>
      <w:bookmarkStart w:id="86" w:name="_Toc18202"/>
      <w:bookmarkStart w:id="87" w:name="_Toc1781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坚持开放协同，区域联动</w:t>
      </w:r>
      <w:bookmarkEnd w:id="84"/>
      <w:bookmarkEnd w:id="85"/>
      <w:bookmarkEnd w:id="86"/>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紧扣京津冀协同发展国家战略部署，主动对接数字经济创新资源，构建“分工协作、优势互补”的区域数字经济协同产业发展格局。积极搭建跨区域数字产业合作平台，促进产学研用深度协同，促进资金、人才、技术、数据等要素自由流动，形成产业链上下游贯通、跨区域协同配套的产业生态，助力京津冀数字经济一体化发展。</w:t>
      </w:r>
      <w:bookmarkEnd w:id="87"/>
    </w:p>
    <w:p w14:paraId="047C6056">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88" w:name="_Toc9590"/>
      <w:bookmarkStart w:id="89" w:name="_Toc3394"/>
      <w:bookmarkStart w:id="90" w:name="_Toc17885"/>
      <w:bookmarkStart w:id="91" w:name="_Toc338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坚持安全筑基，全程护航</w:t>
      </w:r>
      <w:bookmarkEnd w:id="88"/>
      <w:bookmarkEnd w:id="89"/>
      <w:bookmarkEnd w:id="90"/>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对标国家网络安全、数据安全相关法律法规与标准规范，紧密结合东丽区数字经济发展实际，构建覆盖数字基础设施、数据要素流通、数字产业化培育、产业数字化转型全链条的安全保障体系。牢固树立总体国家安全观，以保密法为根本遵循，压实保密主体责任，将保密要求贯穿于数字经济发展的全过程、各环节，切实筑牢网络安全和数据安全保密防线。加强关键信息基础设施安全防护，防范化解数据安全风险。健全数据安全管理体系，规范数据收集、存储、传输、使用等全流程管理，保障数据要素安全有序流通。强化企业安全主体责任，提升整体数字安全防护能力。</w:t>
      </w:r>
      <w:bookmarkEnd w:id="91"/>
    </w:p>
    <w:bookmarkEnd w:id="50"/>
    <w:bookmarkEnd w:id="51"/>
    <w:bookmarkEnd w:id="52"/>
    <w:p w14:paraId="6A55D794">
      <w:pPr>
        <w:pStyle w:val="3"/>
        <w:pageBreakBefore w:val="0"/>
        <w:kinsoku/>
        <w:wordWrap/>
        <w:overflowPunct/>
        <w:topLinePunct w:val="0"/>
        <w:bidi w:val="0"/>
        <w:snapToGrid/>
        <w:spacing w:line="560" w:lineRule="exact"/>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bookmarkStart w:id="92" w:name="_Toc28078"/>
      <w:bookmarkStart w:id="93" w:name="_Toc5507"/>
      <w:bookmarkStart w:id="94" w:name="_Toc25554"/>
      <w:bookmarkStart w:id="95" w:name="_Toc3500"/>
      <w:bookmarkStart w:id="96" w:name="_Toc22371"/>
      <w:bookmarkStart w:id="97" w:name="_Toc26338"/>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（三）发展</w:t>
      </w:r>
      <w:bookmarkEnd w:id="92"/>
      <w:bookmarkEnd w:id="93"/>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目标</w:t>
      </w:r>
      <w:bookmarkEnd w:id="94"/>
      <w:bookmarkEnd w:id="95"/>
      <w:bookmarkEnd w:id="96"/>
      <w:bookmarkEnd w:id="97"/>
    </w:p>
    <w:p w14:paraId="2005DF66">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2030年，力争实现数字经济核心产业规上企业营收规模达230亿元，年均增速保持10%以上，打造7个以上示范性强、带动性广的示范场景，形成百个典型案例，形成可复制、可推广的数字场景“东丽方案”，构建数字创新能力突出、数字产业初具规模、产业数字深入推进、数实融合应用深入、数字治理效能显著、数字生态体系完善、数据要素改革深化、数据要素流动顺畅的数字经济发展体系，形成总量跨越、结构优化、增速引领、贡献突出的发展格局，走出一条具有东丽特色的数字经济发展道路。</w:t>
      </w:r>
    </w:p>
    <w:p w14:paraId="02E152DB">
      <w:pPr>
        <w:pStyle w:val="8"/>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巩固强化数字创新策源能力。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以东丽区现有科创资源为依托，联合科研机构及企业协会，推动相关载体建设，聚焦人工智能、低空经济等优势领域，力争在生成式人工智能算法优化、低空飞行器智能控制等前沿技术取得突破，形成一批具有自主知识产权的创新成果，打造京津冀数字技术创新的重要策源地。​</w:t>
      </w:r>
    </w:p>
    <w:p w14:paraId="45539428">
      <w:pPr>
        <w:keepNext w:val="0"/>
        <w:keepLines w:val="0"/>
        <w:pageBreakBefore w:val="0"/>
        <w:kinsoku/>
        <w:wordWrap/>
        <w:overflowPunct/>
        <w:topLinePunct w:val="0"/>
        <w:bidi w:val="0"/>
        <w:snapToGrid/>
        <w:spacing w:beforeAutospacing="0" w:afterAutospacing="0" w:line="560" w:lineRule="exact"/>
        <w:ind w:left="0" w:leftChars="0"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招引培育特色数字产业集群。</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立足东丽区区位优势与产业基础，打造数字经济新产业基地。深化智能网联汽车、数据标注、低空经济等产业布局。做强智能网联汽车产业，探索打造智能网联汽车测试验证公共服务平台，吸引产业链上下游企业集聚。提升数据标注产业能级，建设东丽区数据标注产业基地，塑造国内独具特色的数字产业发展高地。壮大低空经济产业集群，推动低空产业链发展。深入实施“人工智能+”行动，培育人工智能产业集聚区。支持多元化平台经济发展。</w:t>
      </w:r>
    </w:p>
    <w:p w14:paraId="3B07A07A">
      <w:pPr>
        <w:pStyle w:val="8"/>
        <w:keepNext w:val="0"/>
        <w:keepLines w:val="0"/>
        <w:pageBreakBefore w:val="0"/>
        <w:kinsoku/>
        <w:wordWrap/>
        <w:overflowPunct/>
        <w:topLinePunct w:val="0"/>
        <w:bidi w:val="0"/>
        <w:snapToGrid/>
        <w:spacing w:line="560" w:lineRule="exact"/>
        <w:ind w:firstLine="640" w:firstLineChars="200"/>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加速传统产业智改数转升级。</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充分发挥产业资源优势，聚焦航空航天、高端装备、生物医药、文化旅游、交通物流等产业，推动制造业全链条、多维度数字化转型，构建具有竞争力的产业数字化生态。推动企业智改数转提档升级，打造一批全国领先的数字化转型标杆，推动农业、制造业、服务业数字化水平显著提升。</w:t>
      </w:r>
    </w:p>
    <w:p w14:paraId="2A71B84E">
      <w:pPr>
        <w:pStyle w:val="8"/>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拓展产业数字融合应用场景。</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围绕空天信息、智能网联汽车、北斗导航、平台经济等领域，系统布局示范性强、带动性广的融合应用场景。推进智能网联汽车测试、“车路空天”一体化感知体系、无人机物流调度、低空经济数字服务等标杆场景建设。推动数据赋能优化提升传统产业。通过场景创新促进技术迭代、模式创新与产业集聚，形成以应用带产业、以示范促推广的发展格局。</w:t>
      </w:r>
    </w:p>
    <w:p w14:paraId="248FA197">
      <w:pPr>
        <w:pStyle w:val="8"/>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仿宋_GB2312" w:cs="Times New Roman"/>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培育数字经济协同合作生态。</w:t>
      </w:r>
      <w:r>
        <w:rPr>
          <w:rFonts w:hint="default" w:ascii="Times New Roman" w:hAnsi="Times New Roman" w:eastAsia="仿宋_GB2312" w:cs="Times New Roman"/>
          <w:bCs/>
          <w:color w:val="000000" w:themeColor="text1"/>
          <w:kern w:val="2"/>
          <w:sz w:val="32"/>
          <w:szCs w:val="32"/>
          <w:highlight w:val="none"/>
          <w:lang w:val="en-US" w:eastAsia="zh-CN" w:bidi="ar-SA"/>
          <w14:textFill>
            <w14:solidFill>
              <w14:schemeClr w14:val="tx1"/>
            </w14:solidFill>
          </w14:textFill>
        </w:rPr>
        <w:t>深度融入京津冀协同发展战略，主动对接数字经济创新资源。加强与市场主体在数字基础设施、数据要素流通、产业协同等方面的合作，推动设立相关数字经济发展基金，促进数字技术、人才、资本等要素自由流动，将东丽区打造成为京津冀数字经济合作的关键枢纽。</w:t>
      </w:r>
    </w:p>
    <w:p w14:paraId="2F1DA4FA">
      <w:pPr>
        <w:pStyle w:val="8"/>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引领全市数据要素改革示范。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健全公共数据授权运营及收益分配、交易流通等相关制度，推动数据要素市场化配置改革。探索数据要素与实体经济深度融合的创新模式，围绕航空航天、生物医药、智能网联汽车、智能制造、知识产权、地质调查等特色产业领域，丰富完善数据要素市场体系。探索东丽区国资监管企业数据资产管理工作，试点首席数据官制度，形成可在全市推广的数据要素改革经验。</w:t>
      </w:r>
    </w:p>
    <w:p w14:paraId="0F1B9157">
      <w:pPr>
        <w:pStyle w:val="8"/>
        <w:keepNext w:val="0"/>
        <w:keepLines w:val="0"/>
        <w:pageBreakBefore w:val="0"/>
        <w:kinsoku/>
        <w:wordWrap/>
        <w:overflowPunct/>
        <w:topLinePunct w:val="0"/>
        <w:bidi w:val="0"/>
        <w:snapToGrid/>
        <w:spacing w:beforeAutospacing="0" w:afterAutospacing="0" w:line="560" w:lineRule="exact"/>
        <w:ind w:left="0" w:leftChars="0" w:firstLine="643" w:firstLineChars="200"/>
        <w:jc w:val="cente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“十五五”东丽数字经济发展主要指标</w:t>
      </w:r>
    </w:p>
    <w:tbl>
      <w:tblPr>
        <w:tblStyle w:val="16"/>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825"/>
        <w:gridCol w:w="1595"/>
        <w:gridCol w:w="1625"/>
      </w:tblGrid>
      <w:tr w14:paraId="52C2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jc w:val="center"/>
        </w:trPr>
        <w:tc>
          <w:tcPr>
            <w:tcW w:w="898" w:type="dxa"/>
            <w:shd w:val="clear" w:color="auto" w:fill="E7E6E6" w:themeFill="background2"/>
            <w:vAlign w:val="center"/>
          </w:tcPr>
          <w:p w14:paraId="45B52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sz w:val="32"/>
                <w:szCs w:val="32"/>
                <w:highlight w:val="none"/>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序号</w:t>
            </w:r>
          </w:p>
        </w:tc>
        <w:tc>
          <w:tcPr>
            <w:tcW w:w="4825" w:type="dxa"/>
            <w:shd w:val="clear" w:color="auto" w:fill="E7E6E6" w:themeFill="background2"/>
            <w:vAlign w:val="center"/>
          </w:tcPr>
          <w:p w14:paraId="30AC5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sz w:val="32"/>
                <w:szCs w:val="32"/>
                <w:highlight w:val="none"/>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指标</w:t>
            </w:r>
          </w:p>
        </w:tc>
        <w:tc>
          <w:tcPr>
            <w:tcW w:w="1595" w:type="dxa"/>
            <w:shd w:val="clear" w:color="auto" w:fill="E7E6E6" w:themeFill="background2"/>
            <w:vAlign w:val="center"/>
          </w:tcPr>
          <w:p w14:paraId="097E6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sz w:val="32"/>
                <w:szCs w:val="32"/>
                <w:highlight w:val="none"/>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2025年</w:t>
            </w:r>
          </w:p>
        </w:tc>
        <w:tc>
          <w:tcPr>
            <w:tcW w:w="1625" w:type="dxa"/>
            <w:shd w:val="clear" w:color="auto" w:fill="E7E6E6" w:themeFill="background2"/>
            <w:vAlign w:val="center"/>
          </w:tcPr>
          <w:p w14:paraId="33B6B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sz w:val="32"/>
                <w:szCs w:val="32"/>
                <w:highlight w:val="none"/>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2030年</w:t>
            </w:r>
          </w:p>
        </w:tc>
      </w:tr>
      <w:tr w14:paraId="0417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8" w:type="dxa"/>
            <w:vAlign w:val="center"/>
          </w:tcPr>
          <w:p w14:paraId="53A7F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p>
        </w:tc>
        <w:tc>
          <w:tcPr>
            <w:tcW w:w="4825" w:type="dxa"/>
            <w:vAlign w:val="center"/>
          </w:tcPr>
          <w:p w14:paraId="4361B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规模以上数字经济核心产业营业收入（亿元）</w:t>
            </w:r>
          </w:p>
        </w:tc>
        <w:tc>
          <w:tcPr>
            <w:tcW w:w="1595" w:type="dxa"/>
            <w:vAlign w:val="center"/>
          </w:tcPr>
          <w:p w14:paraId="5C82D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约140</w:t>
            </w:r>
          </w:p>
        </w:tc>
        <w:tc>
          <w:tcPr>
            <w:tcW w:w="1625" w:type="dxa"/>
            <w:vAlign w:val="center"/>
          </w:tcPr>
          <w:p w14:paraId="1AF37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230</w:t>
            </w:r>
          </w:p>
        </w:tc>
      </w:tr>
      <w:tr w14:paraId="234C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8" w:type="dxa"/>
            <w:vAlign w:val="center"/>
          </w:tcPr>
          <w:p w14:paraId="70C2D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w:t>
            </w:r>
          </w:p>
        </w:tc>
        <w:tc>
          <w:tcPr>
            <w:tcW w:w="4825" w:type="dxa"/>
            <w:vAlign w:val="center"/>
          </w:tcPr>
          <w:p w14:paraId="53F22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智能工厂数量（个）</w:t>
            </w:r>
          </w:p>
        </w:tc>
        <w:tc>
          <w:tcPr>
            <w:tcW w:w="1595" w:type="dxa"/>
            <w:vAlign w:val="center"/>
          </w:tcPr>
          <w:p w14:paraId="2CAEF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w:t>
            </w:r>
          </w:p>
        </w:tc>
        <w:tc>
          <w:tcPr>
            <w:tcW w:w="1625" w:type="dxa"/>
            <w:vAlign w:val="center"/>
          </w:tcPr>
          <w:p w14:paraId="3C06D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63</w:t>
            </w:r>
          </w:p>
        </w:tc>
      </w:tr>
      <w:tr w14:paraId="3F52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8" w:type="dxa"/>
            <w:vAlign w:val="center"/>
          </w:tcPr>
          <w:p w14:paraId="21005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w:t>
            </w:r>
          </w:p>
        </w:tc>
        <w:tc>
          <w:tcPr>
            <w:tcW w:w="4825" w:type="dxa"/>
            <w:vAlign w:val="center"/>
          </w:tcPr>
          <w:p w14:paraId="34C41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高质量数据集（个）</w:t>
            </w:r>
          </w:p>
        </w:tc>
        <w:tc>
          <w:tcPr>
            <w:tcW w:w="1595" w:type="dxa"/>
            <w:vAlign w:val="center"/>
          </w:tcPr>
          <w:p w14:paraId="439FC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w:t>
            </w:r>
          </w:p>
        </w:tc>
        <w:tc>
          <w:tcPr>
            <w:tcW w:w="1625" w:type="dxa"/>
            <w:vAlign w:val="center"/>
          </w:tcPr>
          <w:p w14:paraId="07C95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60</w:t>
            </w:r>
          </w:p>
        </w:tc>
      </w:tr>
      <w:tr w14:paraId="4204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8" w:type="dxa"/>
            <w:vAlign w:val="center"/>
          </w:tcPr>
          <w:p w14:paraId="24E0D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w:t>
            </w:r>
          </w:p>
        </w:tc>
        <w:tc>
          <w:tcPr>
            <w:tcW w:w="4825" w:type="dxa"/>
            <w:vAlign w:val="center"/>
          </w:tcPr>
          <w:p w14:paraId="32443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公共数据授权运营应用场景（个）</w:t>
            </w:r>
          </w:p>
        </w:tc>
        <w:tc>
          <w:tcPr>
            <w:tcW w:w="1595" w:type="dxa"/>
            <w:vAlign w:val="center"/>
          </w:tcPr>
          <w:p w14:paraId="2F08A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w:t>
            </w:r>
          </w:p>
        </w:tc>
        <w:tc>
          <w:tcPr>
            <w:tcW w:w="1625" w:type="dxa"/>
            <w:vAlign w:val="center"/>
          </w:tcPr>
          <w:p w14:paraId="4189D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7</w:t>
            </w:r>
          </w:p>
        </w:tc>
      </w:tr>
      <w:tr w14:paraId="59BA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8" w:type="dxa"/>
            <w:vAlign w:val="center"/>
          </w:tcPr>
          <w:p w14:paraId="3D082B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5</w:t>
            </w:r>
          </w:p>
        </w:tc>
        <w:tc>
          <w:tcPr>
            <w:tcW w:w="4825" w:type="dxa"/>
            <w:vAlign w:val="center"/>
          </w:tcPr>
          <w:p w14:paraId="70871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行业可信数据空间（个）</w:t>
            </w:r>
          </w:p>
        </w:tc>
        <w:tc>
          <w:tcPr>
            <w:tcW w:w="1595" w:type="dxa"/>
            <w:vAlign w:val="center"/>
          </w:tcPr>
          <w:p w14:paraId="3CAC6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w:t>
            </w:r>
          </w:p>
        </w:tc>
        <w:tc>
          <w:tcPr>
            <w:tcW w:w="1625" w:type="dxa"/>
            <w:vAlign w:val="center"/>
          </w:tcPr>
          <w:p w14:paraId="7C03E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w:t>
            </w:r>
          </w:p>
        </w:tc>
      </w:tr>
      <w:tr w14:paraId="44C6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8" w:type="dxa"/>
            <w:vAlign w:val="center"/>
          </w:tcPr>
          <w:p w14:paraId="07ECC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6</w:t>
            </w:r>
          </w:p>
        </w:tc>
        <w:tc>
          <w:tcPr>
            <w:tcW w:w="4825" w:type="dxa"/>
            <w:vAlign w:val="center"/>
          </w:tcPr>
          <w:p w14:paraId="215A7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区域5G-A通达率（%）</w:t>
            </w:r>
          </w:p>
        </w:tc>
        <w:tc>
          <w:tcPr>
            <w:tcW w:w="1595" w:type="dxa"/>
            <w:vAlign w:val="center"/>
          </w:tcPr>
          <w:p w14:paraId="72033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w:t>
            </w:r>
          </w:p>
        </w:tc>
        <w:tc>
          <w:tcPr>
            <w:tcW w:w="1625" w:type="dxa"/>
            <w:vAlign w:val="center"/>
          </w:tcPr>
          <w:p w14:paraId="33A50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90</w:t>
            </w:r>
          </w:p>
        </w:tc>
      </w:tr>
      <w:bookmarkEnd w:id="0"/>
    </w:tbl>
    <w:p w14:paraId="613FD1FB">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98" w:name="_Toc28088"/>
      <w:bookmarkStart w:id="99" w:name="_Toc7518"/>
      <w:bookmarkStart w:id="100" w:name="_Toc21817"/>
      <w:bookmarkStart w:id="101" w:name="_Toc22163"/>
      <w:r>
        <w:rPr>
          <w:rFonts w:hint="default" w:ascii="Times New Roman" w:hAnsi="Times New Roman" w:eastAsia="黑体" w:cs="Times New Roman"/>
          <w:b w:val="0"/>
          <w:bCs w:val="0"/>
          <w:color w:val="auto"/>
          <w:sz w:val="32"/>
          <w:szCs w:val="32"/>
          <w:highlight w:val="none"/>
          <w:lang w:val="en-US" w:eastAsia="zh-CN"/>
        </w:rPr>
        <w:t>三、完善数字基础设施，打造区域创新发展新动力</w:t>
      </w:r>
      <w:bookmarkEnd w:id="1"/>
      <w:bookmarkEnd w:id="2"/>
      <w:bookmarkEnd w:id="98"/>
      <w:bookmarkEnd w:id="99"/>
      <w:bookmarkEnd w:id="100"/>
      <w:bookmarkEnd w:id="101"/>
    </w:p>
    <w:p w14:paraId="6F35E5EA">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02" w:name="_Toc23426"/>
      <w:bookmarkStart w:id="103" w:name="_Toc20385"/>
      <w:bookmarkStart w:id="104" w:name="_Toc28964"/>
      <w:bookmarkStart w:id="105" w:name="_Toc4683"/>
      <w:bookmarkStart w:id="106" w:name="_Toc23674"/>
      <w:bookmarkStart w:id="107" w:name="_Toc5866"/>
      <w:bookmarkStart w:id="108" w:name="_Toc27727"/>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（一）构建高效协同的数字基础设施体系</w:t>
      </w:r>
      <w:bookmarkEnd w:id="102"/>
      <w:bookmarkEnd w:id="103"/>
      <w:bookmarkEnd w:id="104"/>
      <w:bookmarkEnd w:id="105"/>
      <w:bookmarkEnd w:id="106"/>
      <w:bookmarkEnd w:id="107"/>
      <w:bookmarkEnd w:id="108"/>
    </w:p>
    <w:p w14:paraId="695C984A">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推进网络基础设施建设。</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完成海河柳林“设计之都”核心区、天开东丽园、机场区域等场景的5G-A连续覆盖；推进企业、工业园区的5G-A改造升级，确保重点区域网络性能达到行业领先水平。升级50G PON网络，实现万兆光纤到企、到楼，为智能制造、高清视频、元宇宙等大带宽业务提供“双万兆”接入能力，构建高速、稳定、低时延的千兆光网底座。</w:t>
      </w:r>
    </w:p>
    <w:p w14:paraId="13EE581C">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推进边缘算力布局。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发展边缘算力节点，按照“需求导向、精准布局”原则，建设分布式边缘计算中心，形成“即时响应、弹性扩展”的算力服务体系。依托边缘算力节点项目，构建“2+1”万兆智算机房集群、全域光纤管网、5G精品网络及智能分析体系。在产业园区部署模块化边缘算力设备，满足数据预处理、实时计算等低时延需求。</w:t>
      </w:r>
    </w:p>
    <w:p w14:paraId="5FCFB7FC">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优化算力支撑体系。</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充分发挥天津市算力调度机制优势，积极对接算力节点资源，打通与市级算力调度平台的连接通道，实现算力资源的“按需调用、动态分配”，通过算力券等创新模式实现跨区域资源协同。构建混合云管理模式，实现关键业务本地处理与复杂计算云端协同的运行机制。</w:t>
      </w:r>
    </w:p>
    <w:tbl>
      <w:tblPr>
        <w:tblStyle w:val="16"/>
        <w:tblW w:w="89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9"/>
      </w:tblGrid>
      <w:tr w14:paraId="4481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2035">
            <w:pPr>
              <w:keepNext w:val="0"/>
              <w:keepLines w:val="0"/>
              <w:pageBreakBefore w:val="0"/>
              <w:widowControl/>
              <w:suppressLineNumbers w:val="0"/>
              <w:kinsoku/>
              <w:wordWrap/>
              <w:overflowPunct/>
              <w:topLinePunct w:val="0"/>
              <w:bidi w:val="0"/>
              <w:snapToGrid/>
              <w:spacing w:beforeAutospacing="0" w:afterAutospacing="0" w:line="560" w:lineRule="exact"/>
              <w:ind w:left="0" w:leftChars="0" w:firstLine="643" w:firstLineChars="200"/>
              <w:jc w:val="center"/>
              <w:textAlignment w:val="center"/>
              <w:rPr>
                <w:rFonts w:hint="default" w:ascii="Times New Roman" w:hAnsi="Times New Roman" w:eastAsia="仿宋" w:cs="Times New Roman"/>
                <w:b/>
                <w:bCs/>
                <w:i w:val="0"/>
                <w:iCs w:val="0"/>
                <w:color w:val="auto"/>
                <w:sz w:val="32"/>
                <w:szCs w:val="32"/>
                <w:highlight w:val="none"/>
                <w:u w:val="none"/>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专栏</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 数字经济基础设施升级</w:t>
            </w:r>
          </w:p>
        </w:tc>
      </w:tr>
      <w:tr w14:paraId="0940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E891">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建设高速智能网络设施。</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进重点区域光纤网络万兆全覆盖，打造超低时延、超高可靠的确定性自智网络。加快5G-A网络在核心功能区、园区及物流枢纽等关键场景的连续覆盖。构建“2+1”万兆智算机房集群，完善全域光纤管网与智能分纤体系。</w:t>
            </w:r>
          </w:p>
          <w:p w14:paraId="045BA9A3">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构建协同算力支撑体系。</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布局边缘算力节点，构建算力基座，赋能产业智能化转型升级。</w:t>
            </w:r>
          </w:p>
          <w:p w14:paraId="7D29BDB0">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强化科创平台数字底座。</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围绕地球物理、自然资源等领域，建设一批科研实验平台与技术创新中心，完善大健康产业承接载体的数字基础设施，为科技创新与产业升级提供支撑。</w:t>
            </w:r>
          </w:p>
        </w:tc>
      </w:tr>
    </w:tbl>
    <w:p w14:paraId="7042F6F3">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09" w:name="_Toc587"/>
      <w:bookmarkStart w:id="110" w:name="_Toc30621"/>
      <w:bookmarkStart w:id="111" w:name="_Toc9068"/>
      <w:bookmarkStart w:id="112" w:name="_Toc5125"/>
      <w:bookmarkStart w:id="113" w:name="_Toc20196"/>
      <w:bookmarkStart w:id="114" w:name="_Toc21931"/>
      <w:bookmarkStart w:id="115" w:name="_Toc17105"/>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（二）打造数字经济人才实训基地</w:t>
      </w:r>
      <w:bookmarkEnd w:id="109"/>
      <w:bookmarkEnd w:id="110"/>
      <w:bookmarkEnd w:id="111"/>
      <w:bookmarkEnd w:id="112"/>
      <w:bookmarkEnd w:id="113"/>
      <w:bookmarkEnd w:id="114"/>
      <w:bookmarkEnd w:id="115"/>
    </w:p>
    <w:p w14:paraId="30AA78A4">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共建机器学习与大模型实训平台。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联合市场主体，共建机器学习、模型实训平台，聚焦工业场景中的AI算法优化、智能装备控制等核心技术，通过真实工业项目驱动教学，培养数字技能人才。推动高校、职业院校与科研机构等载体合作，开设数据标注实训平台，针对智能制造、智能网联汽车、轨道交通等领域数据需求，定向培养数据预处理、模型训练等基础技术人才，为工业智能化升级提供人才支撑。</w:t>
      </w:r>
    </w:p>
    <w:p w14:paraId="2D8C352C">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实施多层次数字人才培养计划。</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探索打造人工智能等数字素养课程，联合国内科研机构等载体针对数据标注、人工智能应用技术等新兴产业开发模块化课程，共建产教融合基地、现代产业学院，实现“教学-实训-就业”无缝衔接。实施数字人才引进计划，设立人才孵化中心，为初创团队提供技术验证、投融资对接等全周期服务，形成“基础技能人才+高端创新人才”的梯队化供给。</w:t>
      </w:r>
    </w:p>
    <w:p w14:paraId="25AB848A">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16" w:name="_Toc20226"/>
      <w:bookmarkStart w:id="117" w:name="_Toc18811"/>
      <w:bookmarkStart w:id="118" w:name="_Toc31957"/>
      <w:bookmarkStart w:id="119" w:name="_Toc30424"/>
      <w:bookmarkStart w:id="120" w:name="_Toc1801"/>
      <w:bookmarkStart w:id="121" w:name="_Toc27127"/>
      <w:bookmarkStart w:id="122" w:name="_Toc3361"/>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（三）强化数字创新策源能力</w:t>
      </w:r>
      <w:bookmarkEnd w:id="116"/>
      <w:bookmarkEnd w:id="117"/>
      <w:bookmarkEnd w:id="118"/>
      <w:bookmarkEnd w:id="119"/>
      <w:bookmarkEnd w:id="120"/>
      <w:bookmarkEnd w:id="121"/>
      <w:bookmarkEnd w:id="122"/>
    </w:p>
    <w:p w14:paraId="2ECA6FB2">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支持筹建创新联合载体。</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依托科研机构，支持筹建设立“AI+工业软件+网络安全”联合实验室、研发中心等创新载体。聚焦智能算法、工业仿真软件、数据安全等关键技术领域，集中科研力量开展攻关，推动相关技术取得突破，为数字经济发展提供技术支撑。</w:t>
      </w:r>
    </w:p>
    <w:p w14:paraId="45259901">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推动建设创业孵化载体。</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推动建设数字经济专业孵化器、加速器，配备共享实验室，搭建融资对接服务平台，降低企业创业成本。孵化人工智能、区块链、低空经济、具身智能等领域的初创企业，培育数字经济新业态。</w:t>
      </w:r>
    </w:p>
    <w:p w14:paraId="50A0AB3D">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推动产学研用深度融合。</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推动科研机构与企业共建联合研发中心，组织科研力量进行项目攻关，有效解决企业在生产过程中的技术瓶颈问题，促进科研成果在企业转化应用，实现产学研用的良性互动。</w:t>
      </w:r>
    </w:p>
    <w:tbl>
      <w:tblPr>
        <w:tblStyle w:val="16"/>
        <w:tblW w:w="87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1"/>
      </w:tblGrid>
      <w:tr w14:paraId="2813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黑体" w:cs="Times New Roman"/>
                <w:b/>
                <w:bCs/>
                <w:i w:val="0"/>
                <w:iCs w:val="0"/>
                <w:color w:val="auto"/>
                <w:sz w:val="32"/>
                <w:szCs w:val="32"/>
                <w:highlight w:val="none"/>
                <w:u w:val="none"/>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专栏2 </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夯实数字技术创新策源能力</w:t>
            </w:r>
          </w:p>
        </w:tc>
      </w:tr>
      <w:tr w14:paraId="71E4E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2" w:hRule="atLeast"/>
        </w:trPr>
        <w:tc>
          <w:tcPr>
            <w:tcW w:w="8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2B74">
            <w:pPr>
              <w:pStyle w:val="15"/>
              <w:keepNext w:val="0"/>
              <w:keepLines w:val="0"/>
              <w:pageBreakBefore w:val="0"/>
              <w:kinsoku/>
              <w:wordWrap/>
              <w:overflowPunct/>
              <w:topLinePunct w:val="0"/>
              <w:bidi w:val="0"/>
              <w:snapToGrid/>
              <w:spacing w:line="560" w:lineRule="exact"/>
              <w:ind w:firstLine="643" w:firstLineChars="200"/>
              <w:rPr>
                <w:rFonts w:hint="default" w:ascii="Times New Roman" w:hAnsi="Times New Roman" w:eastAsia="仿宋" w:cs="Times New Roman"/>
                <w:i w:val="0"/>
                <w:iCs w:val="0"/>
                <w:color w:val="auto"/>
                <w:kern w:val="0"/>
                <w:sz w:val="32"/>
                <w:szCs w:val="32"/>
                <w:highlight w:val="none"/>
                <w:u w:val="none"/>
                <w:lang w:bidi="ar"/>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建设创新孵化平台。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依托高校资源优势，联合高水平科研机构与企业，共同建设专业化创新孵化平台，推动科技成果转化与产业孵化。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br w:type="textWrapping"/>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打造数字经济人才实训基地。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打造AI教育实训平台；设立数字经济人才孵化中心，提供全周期服务；开展干部“大数据+政务”能力培训；推进中小学人工智能普及教育，搭建智能实训平台。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br w:type="textWrapping"/>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强化数字创新策源能力。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持打造数字创新联合载体，攻关关键技术；推动建设数字经济孵化器、加速器，为初创企业提供场地、实验室、融资服务，孵化新业态；推动产学研用深度合作，构建“北京研发-东丽转化”通道，吸引科研成果在东丽转化。</w:t>
            </w:r>
          </w:p>
        </w:tc>
      </w:tr>
    </w:tbl>
    <w:p w14:paraId="3EACA778">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123" w:name="_Toc1809"/>
      <w:bookmarkStart w:id="124" w:name="_Toc5994"/>
      <w:bookmarkStart w:id="125" w:name="_Toc14998"/>
      <w:bookmarkStart w:id="126" w:name="_Toc29538"/>
    </w:p>
    <w:p w14:paraId="73EBA4B4">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fldChar w:fldCharType="begin"/>
      </w:r>
      <w:r>
        <w:rPr>
          <w:rFonts w:hint="default" w:ascii="Times New Roman" w:hAnsi="Times New Roman" w:eastAsia="黑体" w:cs="Times New Roman"/>
          <w:b w:val="0"/>
          <w:bCs w:val="0"/>
          <w:color w:val="auto"/>
          <w:sz w:val="32"/>
          <w:szCs w:val="32"/>
          <w:highlight w:val="none"/>
          <w:lang w:val="en-US" w:eastAsia="zh-CN"/>
        </w:rPr>
        <w:instrText xml:space="preserve"> HYPERLINK \l _Toc18993 </w:instrText>
      </w:r>
      <w:r>
        <w:rPr>
          <w:rFonts w:hint="default" w:ascii="Times New Roman" w:hAnsi="Times New Roman" w:eastAsia="黑体" w:cs="Times New Roman"/>
          <w:b w:val="0"/>
          <w:bCs w:val="0"/>
          <w:color w:val="auto"/>
          <w:sz w:val="32"/>
          <w:szCs w:val="32"/>
          <w:highlight w:val="none"/>
          <w:lang w:val="en-US" w:eastAsia="zh-CN"/>
        </w:rPr>
        <w:fldChar w:fldCharType="separate"/>
      </w:r>
      <w:r>
        <w:rPr>
          <w:rFonts w:hint="default" w:ascii="Times New Roman" w:hAnsi="Times New Roman" w:eastAsia="黑体" w:cs="Times New Roman"/>
          <w:b w:val="0"/>
          <w:bCs w:val="0"/>
          <w:color w:val="auto"/>
          <w:sz w:val="32"/>
          <w:szCs w:val="32"/>
          <w:highlight w:val="none"/>
          <w:lang w:val="en-US" w:eastAsia="zh-CN"/>
        </w:rPr>
        <w:t>四、引育特色数字产业集群，打造数字产业新生态</w:t>
      </w:r>
      <w:r>
        <w:rPr>
          <w:rFonts w:hint="default" w:ascii="Times New Roman" w:hAnsi="Times New Roman" w:eastAsia="黑体" w:cs="Times New Roman"/>
          <w:b w:val="0"/>
          <w:bCs w:val="0"/>
          <w:color w:val="auto"/>
          <w:sz w:val="32"/>
          <w:szCs w:val="32"/>
          <w:highlight w:val="none"/>
          <w:lang w:val="en-US" w:eastAsia="zh-CN"/>
        </w:rPr>
        <w:fldChar w:fldCharType="end"/>
      </w:r>
      <w:bookmarkEnd w:id="123"/>
      <w:bookmarkEnd w:id="124"/>
      <w:bookmarkEnd w:id="125"/>
      <w:bookmarkEnd w:id="126"/>
    </w:p>
    <w:p w14:paraId="7FE0C167">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27" w:name="_Toc24049"/>
      <w:bookmarkStart w:id="128" w:name="_Toc4868"/>
      <w:bookmarkStart w:id="129" w:name="_Toc7603"/>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（一）打造数字经济新产业基地</w:t>
      </w:r>
      <w:bookmarkEnd w:id="127"/>
      <w:bookmarkEnd w:id="128"/>
      <w:bookmarkEnd w:id="129"/>
    </w:p>
    <w:p w14:paraId="11C45367">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完善产业链生态。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完善数字经济产业链招商图谱，形成“图谱引资-平台赋能-产业协同”的招商生态。吸引数据产业、生物医药、医疗器械、电商服务、物流供应链等领域的企业入驻，建立产业服务联盟，形成涵盖供应链、金融、物流的一站式服务体系，强化产业链上下游协同效应，打造数字经济产业集聚高地。</w:t>
      </w:r>
    </w:p>
    <w:p w14:paraId="73D75579">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拓展公共品牌市场。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打造“东丽优品”区域公共品牌。搭建普惠性线上销售服务平台，面向中小微企业提供电商运营指导、渠道对接等支持服务。依托资源整合与数字化服务能力，提升产品整体影响力与市场竞争力。</w:t>
      </w:r>
    </w:p>
    <w:p w14:paraId="32EFBF1E">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30" w:name="_Toc11697"/>
      <w:bookmarkStart w:id="131" w:name="_Toc17362"/>
      <w:bookmarkStart w:id="132" w:name="_Toc15853"/>
      <w:bookmarkStart w:id="133" w:name="_Toc2362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（二）打造数据创新产业基地</w:t>
      </w:r>
      <w:bookmarkEnd w:id="130"/>
      <w:bookmarkEnd w:id="131"/>
      <w:bookmarkEnd w:id="132"/>
      <w:bookmarkEnd w:id="133"/>
    </w:p>
    <w:p w14:paraId="61178EC8">
      <w:pPr>
        <w:keepNext w:val="0"/>
        <w:keepLines w:val="0"/>
        <w:pageBreakBefore w:val="0"/>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134" w:name="_Toc18824"/>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构建数据标注产业生态体系。</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围绕人工智能训练需求，建设数据标注产业基地，引进培育专业数据标注企业，形成数据标注全类型服务能力，提供数据清洗、质量检测、安全管理等一站式服务。依托智能网联产业等场景应用拓展需求，探索打造行业级标注数据库。引导企业搭建新型研发机构，攻关数据标注自动化关键技术，推广智能化标注工具。推动企业参与数据标注标准制定</w:t>
      </w:r>
      <w:bookmarkEnd w:id="134"/>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702168B4">
      <w:pPr>
        <w:keepNext w:val="0"/>
        <w:keepLines w:val="0"/>
        <w:pageBreakBefore w:val="0"/>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135" w:name="_Toc27495"/>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构建多极业务支撑空间格局。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探索建设集成数据标注、智能体开发、可信数据空间运营等核心业务的数据创新基地，探索落地共享测试场地。支持企业探索建设前沿数据工场、数据融合实验室及数据产品超市，培育一批覆盖数据采集、标注、应用的AI数据创新企业。</w:t>
      </w:r>
      <w:bookmarkEnd w:id="135"/>
    </w:p>
    <w:p w14:paraId="01F62342">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36" w:name="_Toc20847"/>
      <w:bookmarkStart w:id="137" w:name="_Toc1767"/>
      <w:bookmarkStart w:id="138" w:name="_Toc25285"/>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（三）深入实施“人工智能+”行动</w:t>
      </w:r>
      <w:bookmarkEnd w:id="136"/>
      <w:bookmarkEnd w:id="137"/>
      <w:bookmarkEnd w:id="138"/>
    </w:p>
    <w:p w14:paraId="0CCF2D2F">
      <w:pPr>
        <w:keepNext w:val="0"/>
        <w:keepLines w:val="0"/>
        <w:pageBreakBefore w:val="0"/>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“人工智能+”产业发展。</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动人工智能与实体经济深度融合，支持企业开展智能化改造和数字化转型，推动研发设计、生产制造、经营管理等全流程智能化升级。推动人工智能在航空航天、智能制造、新材料、地质勘探、现代农业、绿色低碳、交通运输等领域的深度应用，培育一批智能制造示范工厂和标杆场景。前瞻布局新一代信息技术、生物制造等战略性新兴产业，积极培育具身智能、人形机器人等未来产业新增长点。加快构建人工智能产业生态，鼓励发展基于人工智能底层技术的智能原生企业和创新平台，推动智能技术产品化、服务化，培育数据驱动、智能引领的新业态新模式，形成具有区域特色的人工智能产业集群。</w:t>
      </w:r>
    </w:p>
    <w:p w14:paraId="7AFB779C">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“人工智能+”消费提质。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拓展人工智能赋能民生服务与消费升级新路径，推动智能技术在政务、医疗、教育、养老等公共服务领域规模化应用。发展智能消费新业态，推动人工智能与智能家居、智能穿戴、智能网联汽车等终端融合创新，打造全场景智能消费体验。鼓励发展基于人工智能的内容创作、在线娱乐、个性化电商等数字服务，培育陪伴型、效率型智能服务新入口，提升消费品质与体验。在数字商贸、金融服务、智慧康养、数字医疗、文化旅游等领域打造示范场景，形成典型案例。</w:t>
      </w:r>
    </w:p>
    <w:p w14:paraId="4B984CA0">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tbl>
      <w:tblPr>
        <w:tblStyle w:val="16"/>
        <w:tblW w:w="88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9"/>
      </w:tblGrid>
      <w:tr w14:paraId="57A8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i w:val="0"/>
                <w:iCs w:val="0"/>
                <w:color w:val="auto"/>
                <w:sz w:val="32"/>
                <w:szCs w:val="32"/>
                <w:highlight w:val="none"/>
                <w:u w:val="none"/>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专栏3 培育特色数字产业集群</w:t>
            </w:r>
          </w:p>
        </w:tc>
      </w:tr>
      <w:tr w14:paraId="7AB9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6" w:hRule="atLeast"/>
        </w:trPr>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构建产业创新载体。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数字经济新产业基地，完善产业链生态与数字服务平台，赋能中小企业数字化转型。打造数据标注产业集聚区，构建产业生态体系，联合高校培养专业人才，推动技术创新与标准制定。谋划创建人工智能创新孵化平台，孵化人形机器人、具身智能、通用视觉大模型、量子信息等前沿领域项目。</w:t>
            </w:r>
          </w:p>
          <w:p w14:paraId="237C4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建设“人工智能+”产业园。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打造智能算力、数据标注、行业AI应用创新等综合实践基地，推动创新链与产业链深度融合。推进高端装备与新材料研发产业化，提升自主可控能力与产能水平。</w:t>
            </w:r>
          </w:p>
          <w:p w14:paraId="1E2F5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outlineLvl w:val="9"/>
              <w:rPr>
                <w:rFonts w:hint="default" w:ascii="Times New Roman" w:hAnsi="Times New Roman" w:eastAsia="仿宋" w:cs="Times New Roman"/>
                <w:b w:val="0"/>
                <w:bCs w:val="0"/>
                <w:color w:val="auto"/>
                <w:kern w:val="0"/>
                <w:sz w:val="32"/>
                <w:szCs w:val="32"/>
                <w:highlight w:val="none"/>
                <w:u w:val="none"/>
                <w:lang w:val="en-US" w:eastAsia="zh-CN" w:bidi="ar"/>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拓展数字服务新场景。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拓展体验消费、个性消费、认知与情感消费等服务消费新场景，推动数字经济与传统服务领域融合发展。</w:t>
            </w:r>
          </w:p>
        </w:tc>
      </w:tr>
    </w:tbl>
    <w:p w14:paraId="4509ED1E">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139" w:name="_Toc30098"/>
      <w:bookmarkStart w:id="140" w:name="_Toc21732"/>
      <w:bookmarkStart w:id="141" w:name="_Toc18962"/>
      <w:bookmarkStart w:id="142" w:name="_Toc15624"/>
      <w:bookmarkStart w:id="143" w:name="_Toc23601"/>
      <w:bookmarkStart w:id="144" w:name="_Toc20046"/>
      <w:r>
        <w:rPr>
          <w:rFonts w:hint="default" w:ascii="Times New Roman" w:hAnsi="Times New Roman" w:eastAsia="黑体" w:cs="Times New Roman"/>
          <w:b w:val="0"/>
          <w:bCs w:val="0"/>
          <w:color w:val="auto"/>
          <w:sz w:val="32"/>
          <w:szCs w:val="32"/>
          <w:highlight w:val="none"/>
          <w:lang w:val="en-US" w:eastAsia="zh-CN"/>
        </w:rPr>
        <w:t>五、推进传统产业智改数转，生产性服务业数智化</w:t>
      </w:r>
      <w:bookmarkEnd w:id="139"/>
      <w:bookmarkEnd w:id="140"/>
      <w:bookmarkEnd w:id="141"/>
      <w:bookmarkEnd w:id="142"/>
      <w:bookmarkEnd w:id="143"/>
      <w:bookmarkEnd w:id="144"/>
    </w:p>
    <w:p w14:paraId="2C701A6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45" w:name="_Toc6240"/>
      <w:bookmarkStart w:id="146" w:name="_Toc8222"/>
      <w:bookmarkStart w:id="147" w:name="_Toc5399"/>
      <w:bookmarkStart w:id="148" w:name="_Toc2820"/>
      <w:bookmarkStart w:id="149" w:name="_Toc29836"/>
      <w:bookmarkStart w:id="150" w:name="_Toc13463"/>
      <w:bookmarkStart w:id="151" w:name="_Toc18332"/>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（一）推动农业数字化智能化发展</w:t>
      </w:r>
      <w:bookmarkEnd w:id="145"/>
      <w:bookmarkEnd w:id="146"/>
      <w:bookmarkEnd w:id="147"/>
      <w:bookmarkEnd w:id="148"/>
    </w:p>
    <w:p w14:paraId="5919F808">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b w:val="0"/>
          <w:bCs w:val="0"/>
          <w:color w:val="auto"/>
          <w:spacing w:val="-4"/>
          <w:sz w:val="32"/>
          <w:szCs w:val="32"/>
          <w:highlight w:val="none"/>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构建数字化低碳农业示范体系。</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发展低碳农业，推动数据要素和数字技术赋能的农业资源节约化利用，促进农业废弃物的资源化利用，推进产业模式的生态化转变，实现生产链条的绿色化发展，加快农产品加工的绿色转型步伐，构建起数字化智能化绿色化低碳化的农业产业体系。</w:t>
      </w:r>
    </w:p>
    <w:p w14:paraId="5D485435">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推进全产业链数字化绿色升级。</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探索布局绿色农业产业园建设，部署物联网设备实现生产环境智能调控，应用区块链技术实现农产品质量追溯。依托数字技术优化农产品加工流程，减少能耗与排放，健全覆盖冷链物流、电商销售的绿色流通网络。积极推广“供享村社”等创新模式，学习运用“千万工程”经验，整合资源、打通产销，实现农产品从田间到社区的高效直供，助力乡村振兴。</w:t>
      </w:r>
    </w:p>
    <w:p w14:paraId="7035553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52" w:name="_Toc7751"/>
      <w:bookmarkStart w:id="153" w:name="_Toc20785"/>
      <w:bookmarkStart w:id="154" w:name="_Toc7097"/>
      <w:bookmarkStart w:id="155" w:name="_Toc771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（二）推进制造业数字化智能化升级</w:t>
      </w:r>
      <w:bookmarkEnd w:id="149"/>
      <w:bookmarkEnd w:id="150"/>
      <w:bookmarkEnd w:id="151"/>
      <w:bookmarkEnd w:id="152"/>
      <w:bookmarkEnd w:id="153"/>
      <w:bookmarkEnd w:id="154"/>
      <w:bookmarkEnd w:id="155"/>
    </w:p>
    <w:p w14:paraId="7D19D245">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深入实施“智改数转”专项行动。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聚焦汽车零部件、高端装备等传统制造领域，支持工业企业开展智能化改造，梯度培育“基础级—先进级—卓越级—领航级”智能工厂，推动企业完成生产设备联网及数据采集系统部署，推动生产全过程数字化、柔性化和智能化。</w:t>
      </w:r>
    </w:p>
    <w:p w14:paraId="02DF620B">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推动传统产业转型升级。</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改造提升钢铁行业，将转型升级作为推动钢铁行业高质量发展的关键举措，推动企业建设信息化、数字化、智能化产线，开展绿色低碳工艺技术研发，推动工艺根本变革，有效提高生产效率、产品品质，实现高端化、智能化、绿色化发展。巩固提升新材料产业，发展高端金属材料、新型无机非金属材料、新一代信息技术材料及前沿材料细分产业。</w:t>
      </w:r>
    </w:p>
    <w:p w14:paraId="070D3121">
      <w:pPr>
        <w:pStyle w:val="7"/>
        <w:keepNext w:val="0"/>
        <w:keepLines w:val="0"/>
        <w:pageBreakBefore w:val="0"/>
        <w:kinsoku/>
        <w:wordWrap/>
        <w:overflowPunct/>
        <w:topLinePunct w:val="0"/>
        <w:bidi w:val="0"/>
        <w:snapToGrid/>
        <w:spacing w:beforeAutospacing="0" w:afterAutospacing="0" w:line="560" w:lineRule="exact"/>
        <w:ind w:left="0" w:leftChars="0" w:firstLine="640" w:firstLineChars="200"/>
        <w:jc w:val="both"/>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强链补链，打造特色优势产业集群。</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聚焦新能源汽车零部件、医疗器械、轨道交通装备等领域，推动一批相关项目建设，培育一批专精特新、高新技术企业，做大做强汽车、生物医药等产业集群，不断提升集群能级。持续打造产业生态，开展目录式招商，平台招商、以商招商，加速相关产业链项目集聚。着力培育新能源汽车创新港、高端医疗器械创新转化平台。</w:t>
      </w:r>
    </w:p>
    <w:p w14:paraId="225505A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56" w:name="_Toc20524"/>
      <w:bookmarkStart w:id="157" w:name="_Toc8482"/>
      <w:bookmarkStart w:id="158" w:name="_Toc11707"/>
      <w:bookmarkStart w:id="159" w:name="_Toc9911"/>
      <w:bookmarkStart w:id="160" w:name="_Toc3471"/>
      <w:bookmarkStart w:id="161" w:name="_Toc8171"/>
      <w:bookmarkStart w:id="162" w:name="_Toc2444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（三）提升服务业数字化智能化水平</w:t>
      </w:r>
      <w:bookmarkEnd w:id="156"/>
      <w:bookmarkEnd w:id="157"/>
      <w:bookmarkEnd w:id="158"/>
      <w:bookmarkEnd w:id="159"/>
      <w:bookmarkEnd w:id="160"/>
      <w:bookmarkEnd w:id="161"/>
      <w:bookmarkEnd w:id="162"/>
    </w:p>
    <w:p w14:paraId="13C15A58">
      <w:pPr>
        <w:pageBreakBefore w:val="0"/>
        <w:kinsoku/>
        <w:wordWrap/>
        <w:overflowPunct/>
        <w:topLinePunct w:val="0"/>
        <w:bidi w:val="0"/>
        <w:snapToGrid/>
        <w:spacing w:line="560"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1.发展高质量生产性服务业</w:t>
      </w:r>
    </w:p>
    <w:p w14:paraId="38692D01">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打造智慧物流产业新优势。</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动物流业与先进制造、商贸流通深度融合，助力产业降本增效。发展智慧物流，强化5G、北斗卫星导航、人工智能等技术应用，支持企业研发智能物流装备，推广无人仓、数字孪生、智能路径规划等技术，提升物流系统自动化、智能化水平。依托东丽航空产业资源，拓展低空经济物流场景，探索航空货运全流程可视化监控，发展跨境电商一体化物流服务。做强专业化物流服务，支持网络货运平台规范发展，优化车货匹配与运输路径，提升运输效率，加快物流要素数字化转型升级，打造高水平物流转运基地。围绕高端制造、生物医药等产业需求，发展专业冷链物流服务，完善专业化仓储和配送体系。</w:t>
      </w:r>
    </w:p>
    <w:p w14:paraId="07017EE5">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打造检验检测服务新标杆。</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围绕高端装备、新材料、生物医药等产业，大力发展专业化、高附加值的检验检测服务。推动检验检测机构集聚化、品牌化发展，支持企业建设面向行业的公共检测平台，提供一站式检测、认证与标准制定服务。加快数字化技术融合应用，鼓励运用物联网、大数据和人工智能提升检测自动化与数据分析能力，发展远程监测、智能诊断等新业态。深化与制造业协同创新，支持检测机构与制造企业共建中试平台，提供产品研发、质量提升、出口认证等全链条服务，推动检验检测服务嵌入智能制造流程，助力产业提质增效。</w:t>
      </w:r>
    </w:p>
    <w:p w14:paraId="1BF753D2">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构建智能网联产业新生态。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部署5G-A+北斗融合网络，打造“车路空天”一体化感知体系。实现车联网路侧设施智能巡检、“黑飞”无人机动态监测及应急指挥空地协同等多维度能力融合。支持建设智能网联汽车测试验证与仿真平台，开展多场景道路测试和数据服务，吸引感知、决策、控制等关键环节企业集聚。推动北斗定位、5G通信、高精地图等技术在物流运输、城市出行等领域的规模化应用，发展基于数据的车队管理、智慧配送和出行服务。支持传统制造业企业与智能网联服务商协同开发行业解决方案，探索自动驾驶在港口物流、智慧工厂等场景应用，构建以智能网联为核心的数字交通服务能力，赋能产业数字化、网络化、智能化转型。</w:t>
      </w:r>
    </w:p>
    <w:p w14:paraId="4A82FADE">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提升知识产权服务新能级。</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构建覆盖创造、运用、保护和管理全链条的知识产权服务体系。发展专利导航、高价值专利培育、知识产权评议等服务业务，推动知识产权与产业深度融合。支持建设知识产权运营中心和成果转化平台，提供评估、交易、融资一体化服务，探索知识产权证券化等金融创新服务。鼓励服务机构运用大数据、人工智能开展知识产权预警与维权服务，提升服务智能化水平。推动企业知识产权管理规范贯标，提升创新主体知识产权意识和运用能力，助力科技型企业和产业集群创新发展。</w:t>
      </w:r>
    </w:p>
    <w:p w14:paraId="3AB8D657">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培育灵活用工服务新平台。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持搭建数字化灵活用工平台，运用大数据、人工智能实现用工需求与劳动力精准高效匹配，为企业和劳动者提供岗位对接、技能培训、社会保障等一站式服务。围绕平台经济、跨境电商、智能制造等新业态用工需求，发展众包、外包、短期项目合作等多样化用工模式。加强灵活就业人员权益保障和服务管理，推动服务流程标准化、合规化，打造健康可持续的灵活用工生态，助力企业降本增效和劳动者高质量就业，为数字经济发展注入新动能。</w:t>
      </w:r>
    </w:p>
    <w:p w14:paraId="3F0FD96F">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2.打造数智化生活性服务业</w:t>
      </w:r>
    </w:p>
    <w:p w14:paraId="571F2AD6">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发展数字文旅创新服务。</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以东丽湖为数字文旅中枢，联动文旅资源，搭建文旅“一票通”平台。通过云计算与物联网整合门票、住宿、餐饮、交通等全链条服务，实现“一码通行、全网预约”。利用5G+VR/AR/MR技术打造沉浸式体验场景，增强旅游趣味性。依托大数据与区块链技术构建精准营销体系，提升市场转化率。</w:t>
      </w:r>
    </w:p>
    <w:p w14:paraId="46033E55">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优化数字健康医疗服务。</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探索健康大数据应用，通过远程医疗、AI健康管理平台等，实现疾病预警与个性化干预，整合相关医院诊疗数据与社区健康档案，延伸社区医疗至康复护理领域，创新“医疗+康养+文旅”融合模式。依托医疗器械审评绿色通道政策，建设数字医疗产业集聚区，搭建医工交叉转化中心，推动可穿戴设备、AI辅助诊断等创新产品落地，打造京津冀数字医疗发展示范区。</w:t>
      </w:r>
    </w:p>
    <w:p w14:paraId="2E2A6B2A">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构建智慧养老示范场景。</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依托物联网、人工智能等信息技术，开发应用智能穿戴设备、远程监测预警系统，实现老年人生活状态实时感知与风险干预，提升养老服务效率与质量。发展“智慧养老社区”，鼓励物业、医疗机构与养老服务机构合作，开发健康管理、精神关怀、线上文娱等数字化服务场景。深化“养老+”多元业态融合，推动养老服务与物业、家政、医疗、文化、旅游、体育及教育等多领域深度协同，拓展新型服务消费形态，满足老年人多样化、高品质生活需求，积极融入银发经济发展新格局。</w:t>
      </w:r>
    </w:p>
    <w:tbl>
      <w:tblPr>
        <w:tblStyle w:val="16"/>
        <w:tblW w:w="87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6"/>
      </w:tblGrid>
      <w:tr w14:paraId="10A6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D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i w:val="0"/>
                <w:iCs w:val="0"/>
                <w:color w:val="auto"/>
                <w:sz w:val="32"/>
                <w:szCs w:val="32"/>
                <w:highlight w:val="none"/>
                <w:u w:val="none"/>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专栏4 推动产业数字化与智慧应用</w:t>
            </w:r>
          </w:p>
        </w:tc>
      </w:tr>
      <w:tr w14:paraId="284A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C2BC">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3"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探索农业绿色转型。</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发展低碳农业，构建数字化低碳农业示范体系；布局绿色农业产业园，加强物联网、区块链等技术深度应用，提升农业生产经营数字化水平。</w:t>
            </w:r>
          </w:p>
          <w:p w14:paraId="71530999">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3"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培育“智能工厂”。</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加快推动制造业数字化转型智能化升级，打造智能制造“升级版”，部署开展智能工厂梯度培育行动，分基础级、先进级、卓越级和领航级智能工厂四个层级进行培育。</w:t>
            </w:r>
          </w:p>
          <w:p w14:paraId="6D2DB1CE">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3" w:firstLineChars="200"/>
              <w:textAlignment w:val="auto"/>
              <w:outlineLvl w:val="9"/>
              <w:rPr>
                <w:rFonts w:hint="default" w:ascii="Times New Roman" w:hAnsi="Times New Roman" w:eastAsia="仿宋" w:cs="Times New Roman"/>
                <w:i w:val="0"/>
                <w:iCs w:val="0"/>
                <w:color w:val="auto"/>
                <w:sz w:val="32"/>
                <w:szCs w:val="32"/>
                <w:highlight w:val="none"/>
                <w:u w:val="none"/>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提升服务业数字化智能化水平。</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生产性服务业方面，发展智慧物流、检验检测、智能网联、知识产权及灵活用工服务，强化5G、北斗、人工智能等技术应用，建设专业平台，赋能制造业降本增效。生活性服务业方面，打造数字文旅与智慧康养示范区，搭建“一票通”平台、远程医疗、AI健康管理及智慧养老社区服务，推动“医养康旅”融合与银发经济发展，构建全域数智化服务新生态。</w:t>
            </w:r>
          </w:p>
        </w:tc>
      </w:tr>
    </w:tbl>
    <w:p w14:paraId="4535DD19">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163" w:name="_Toc1216"/>
      <w:bookmarkStart w:id="164" w:name="_Toc10261"/>
      <w:bookmarkStart w:id="165" w:name="_Toc2148"/>
      <w:bookmarkStart w:id="166" w:name="_Toc23493"/>
      <w:bookmarkStart w:id="167" w:name="_Toc19818"/>
      <w:bookmarkStart w:id="168" w:name="_Toc2895"/>
    </w:p>
    <w:p w14:paraId="7F53D79D">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六、深化数字场景示范应用，构建现代化产业体系</w:t>
      </w:r>
      <w:bookmarkEnd w:id="163"/>
      <w:bookmarkEnd w:id="164"/>
      <w:bookmarkEnd w:id="165"/>
      <w:bookmarkEnd w:id="166"/>
      <w:bookmarkEnd w:id="167"/>
      <w:bookmarkEnd w:id="168"/>
    </w:p>
    <w:p w14:paraId="7410CD4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69" w:name="_Toc24417"/>
      <w:bookmarkStart w:id="170" w:name="_Toc16059"/>
      <w:bookmarkStart w:id="171" w:name="_Toc16275"/>
      <w:bookmarkStart w:id="172" w:name="_Toc15091"/>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（一）打造数字应用场景</w:t>
      </w:r>
      <w:bookmarkEnd w:id="169"/>
      <w:bookmarkEnd w:id="170"/>
      <w:bookmarkEnd w:id="171"/>
    </w:p>
    <w:p w14:paraId="5F1F4BD0">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深化“数据要素×”行动。</w:t>
      </w:r>
      <w:r>
        <w:rPr>
          <w:rFonts w:hint="default" w:ascii="Times New Roman" w:hAnsi="Times New Roman" w:eastAsia="仿宋_GB2312" w:cs="Times New Roman"/>
          <w:b w:val="0"/>
          <w:bCs w:val="0"/>
          <w:color w:val="auto"/>
          <w:sz w:val="32"/>
          <w:szCs w:val="32"/>
          <w:highlight w:val="none"/>
          <w:lang w:val="en-US" w:eastAsia="zh-CN"/>
        </w:rPr>
        <w:t>打通数据要素与产业发展的连接通道，打破数据壁垒与行业边界，释放数据要素跨界融合的乘数效应，利用场景赋能产业，聚焦智能制造、现代农业、数字商贸、智能网联汽车、金融服务、数字医疗、文化旅游等领域、打造一批具有引领性的示范场景，夯实数字经济与实体经济融合发展的数据基础。</w:t>
      </w:r>
    </w:p>
    <w:p w14:paraId="4FBE618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73" w:name="_Toc25113"/>
      <w:bookmarkStart w:id="174" w:name="_Toc27401"/>
      <w:bookmarkStart w:id="175" w:name="_Toc756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（二）打造空天信息产业集群</w:t>
      </w:r>
      <w:bookmarkEnd w:id="172"/>
      <w:bookmarkEnd w:id="173"/>
      <w:bookmarkEnd w:id="174"/>
      <w:bookmarkEnd w:id="175"/>
    </w:p>
    <w:p w14:paraId="3C4B849C">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176" w:name="_Toc19274"/>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打造空天信息产业集群。</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围绕航空航天低空经济研发设计、生产制造、低空管理服务等方面加快布局发展航空航天低空经济。在航空数字服务领域，充分发挥临近天津滨海国际机场空港的区位优势以及高校的科研优势，深入挖掘航空大数据价值，构建全方位、全链条的航空数据管理体系。</w:t>
      </w:r>
      <w:bookmarkEnd w:id="176"/>
    </w:p>
    <w:p w14:paraId="3D91E3B7">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177" w:name="_Toc21291"/>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培育低空经济新增长点。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积极拓展航电系统管理、无人机物流调度、低空经济数字服务等新兴领域，强化卫星遥感应用能力，形成涵盖无人机全生命周期管理、低空经济及空间信息服务的多元化产业生态，助力经济高质量发展。</w:t>
      </w:r>
      <w:bookmarkEnd w:id="177"/>
    </w:p>
    <w:p w14:paraId="369700D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78" w:name="_Toc5082"/>
      <w:bookmarkStart w:id="179" w:name="_Toc3254"/>
      <w:bookmarkStart w:id="180" w:name="_Toc5303"/>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（三）构建智能网联汽车产业生态</w:t>
      </w:r>
      <w:bookmarkEnd w:id="178"/>
      <w:bookmarkEnd w:id="179"/>
      <w:bookmarkEnd w:id="180"/>
    </w:p>
    <w:p w14:paraId="5F074DDC">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bidi="ar"/>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夯实智能网联汽车发展基础。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围绕智能驾驶、智能座舱、网联架构、信息安全等四个方面，逐步打造国家级新能源和智能网联汽车产业创新平台。引导企业聚焦智能网联汽车共性关键技术，形成规模化、集群化的核心能力，探索突破自动驾驶算法、车规级芯片、V2X通信等关键技术，构建覆盖“技术研发-测试验证-监管支撑”全链条的创新生态，引领智能网联技术进步。</w:t>
      </w:r>
    </w:p>
    <w:p w14:paraId="61F0068C">
      <w:pPr>
        <w:keepNext w:val="0"/>
        <w:keepLines w:val="0"/>
        <w:pageBreakBefore w:val="0"/>
        <w:numPr>
          <w:ilvl w:val="-1"/>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构建智能网联汽车产业生态。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集聚智能网联汽车产业生态上中下游企业，扩建智能网联汽车测试基地，增强自动驾驶、车联网、网络安全等测试能力。推进车路云协同示范道路建设，打造车联网大数据平台。通过全链条布局、数据要素赋能实现产业生态聚集。</w:t>
      </w:r>
    </w:p>
    <w:p w14:paraId="3B25E9D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81" w:name="_Toc19429"/>
      <w:bookmarkStart w:id="182" w:name="_Toc24251"/>
      <w:bookmarkStart w:id="183" w:name="_Toc18012"/>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（四）推动平台经济规范创新</w:t>
      </w:r>
      <w:bookmarkEnd w:id="181"/>
      <w:bookmarkEnd w:id="182"/>
      <w:bookmarkEnd w:id="183"/>
    </w:p>
    <w:p w14:paraId="2B608D45">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强化平台企业引育。</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激发市场主体创新活力，鼓励和支持有条件的市场主体发挥引领作用，建立高效的服务对接机制。实施靶向招商，聚焦智慧物流、跨境供应链、数字内容等领域，积极引进相关企业。支持平台企业做大做强，鼓励有条件的制造业企业剥离软件开发、供应链管理等业务，成立专业化平台服务公司，培育一批具有市场影响力的平台企业。</w:t>
      </w:r>
    </w:p>
    <w:p w14:paraId="0E758CD0">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优化平台经济结构。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动产业结构由“小而散”向“精而优”转变，强化平台经济对实体经济的赋能作用。推动跨境电商与高端制造深度融合，引导数据要素合规高效流通，支持垂直领域平台发展，促进平台服务由消费端向生产端延伸。通过精准招商补链强链，打造共性技术服务平台，持续优化产业生态，培育具有区域带动力的平台集群。发挥政府引导作用，建立平台企业、供应商与用户协同治理机制，引导资本有序扩张，切实保障中小企业与消费者合法权益。构建平衡互利、富有韧性的产业生态格局，实现平台经济供需动态平衡与产业高质量发展。</w:t>
      </w:r>
    </w:p>
    <w:p w14:paraId="116174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firstLine="640" w:firstLineChars="200"/>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提升平台经济质量。</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以科技创新驱动平台经济质量变革，推动发展模式从规模扩张向内涵提升转变。引导平台企业与企业、科研机构共建研发中心，聚焦低空经济管理等关键技术联合攻关，加速科技成果向现实生产力转化。鼓励平台开放数据资源和算法能力，赋能供应商开展个性化定制、精益生产和供应链协同，全面提升产品与服务品质。支持平台沿数字化、智能化路径升级服务体验，强化数据安全和隐私保护，构建以质量为导向的信用评价体系。</w:t>
      </w:r>
    </w:p>
    <w:tbl>
      <w:tblPr>
        <w:tblStyle w:val="16"/>
        <w:tblW w:w="88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9"/>
      </w:tblGrid>
      <w:tr w14:paraId="33C6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7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i w:val="0"/>
                <w:iCs w:val="0"/>
                <w:color w:val="auto"/>
                <w:sz w:val="32"/>
                <w:szCs w:val="32"/>
                <w:highlight w:val="none"/>
                <w:u w:val="none"/>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专栏5 深化数字场景示范应用</w:t>
            </w:r>
          </w:p>
        </w:tc>
      </w:tr>
      <w:tr w14:paraId="1F82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0AE2">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布局低空经济产业。</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设低空经济数据平台，打造全国性低空数据采集与服务体系。开展低空飞行器安全检验测试，保障低空飞行安全。建设低空经济创新孵化平台，孵化电动倾转旋翼飞机、无人机反制等领域项目，提供技术研发、市场应用等全方位服务。</w:t>
            </w:r>
          </w:p>
          <w:p w14:paraId="7CD99C8E">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发展智能网联与平台经济。</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建设智能网联科技创新基地，开展智能驾驶、智能座舱、信息安全等技术研发与测试。支持智慧物流、人力资源等平台经济发展，培育本土电商，深化数据赋能与产业链协同。</w:t>
            </w:r>
          </w:p>
          <w:p w14:paraId="27B45F4A">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建设现代流通枢纽。</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打造国际冷链食品数智化流通枢纽，建设集仓储、交易、加工于一体的供应链体系，推动传统批发市场向展贸中心转型，提升商贸流通能级。</w:t>
            </w:r>
          </w:p>
        </w:tc>
      </w:tr>
    </w:tbl>
    <w:p w14:paraId="077CCF77">
      <w:pPr>
        <w:keepNext w:val="0"/>
        <w:keepLines w:val="0"/>
        <w:pageBreakBefore w:val="0"/>
        <w:numPr>
          <w:ilvl w:val="0"/>
          <w:numId w:val="0"/>
        </w:numPr>
        <w:kinsoku/>
        <w:wordWrap/>
        <w:overflowPunct/>
        <w:topLinePunct w:val="0"/>
        <w:bidi w:val="0"/>
        <w:snapToGrid/>
        <w:spacing w:beforeAutospacing="0" w:afterAutospacing="0" w:line="560" w:lineRule="exact"/>
        <w:ind w:leftChars="0"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184" w:name="_Toc6457"/>
      <w:bookmarkStart w:id="185" w:name="_Toc2505"/>
      <w:bookmarkStart w:id="186" w:name="_Toc18876"/>
      <w:bookmarkStart w:id="187" w:name="_Toc14231"/>
      <w:bookmarkStart w:id="188" w:name="_Toc7918"/>
      <w:bookmarkStart w:id="189" w:name="_Toc2037"/>
      <w:r>
        <w:rPr>
          <w:rFonts w:hint="default" w:ascii="Times New Roman" w:hAnsi="Times New Roman" w:eastAsia="黑体" w:cs="Times New Roman"/>
          <w:b w:val="0"/>
          <w:bCs w:val="0"/>
          <w:color w:val="auto"/>
          <w:sz w:val="32"/>
          <w:szCs w:val="32"/>
          <w:highlight w:val="none"/>
          <w:lang w:val="en-US" w:eastAsia="zh-CN"/>
        </w:rPr>
        <w:t>七、拓展国内外数智化合作，构建创新协同生态圈</w:t>
      </w:r>
      <w:bookmarkEnd w:id="184"/>
      <w:bookmarkEnd w:id="185"/>
      <w:bookmarkEnd w:id="186"/>
      <w:bookmarkEnd w:id="187"/>
      <w:bookmarkEnd w:id="188"/>
      <w:bookmarkEnd w:id="189"/>
    </w:p>
    <w:p w14:paraId="3037D09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90" w:name="_Toc28452"/>
      <w:bookmarkStart w:id="191" w:name="_Toc8507"/>
      <w:bookmarkStart w:id="192" w:name="_Toc27152"/>
      <w:bookmarkStart w:id="193" w:name="_Toc12047"/>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（一）推进京津冀数智化协同发展</w:t>
      </w:r>
      <w:bookmarkEnd w:id="190"/>
      <w:bookmarkEnd w:id="191"/>
      <w:bookmarkEnd w:id="192"/>
      <w:bookmarkEnd w:id="193"/>
    </w:p>
    <w:p w14:paraId="4506B75B">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jc w:val="left"/>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构建京津冀协同转化机制。</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立“北京研发-东丽转化”绿色通道，加强与科研资源的对接与合作。吸引优质科研成果在东丽区进行转化和产业化。深化与科技创新资源合作，扩大高质量科技资源供给，优化科技成果产业转化的市场导向机制。主动承接北京数字产业溢出，构建跨区域产业链，聚焦人工智能、大数据等数字经济核心领域，加速形成“研发-转化-生产”的产业闭环。强化与滨海新区协同联动，推动产业平台资源共享，共建生物医药、航空航天等人才创新创业联盟，促进先进制造业协同发展。推动海港空港联动发展，助力天津市国际航空物流中心建设。</w:t>
      </w:r>
    </w:p>
    <w:p w14:paraId="035147B6">
      <w:pPr>
        <w:keepNext w:val="0"/>
        <w:keepLines w:val="0"/>
        <w:pageBreakBefore w:val="0"/>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衔接产业资本创新资源。</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利用产业基金引导带动作用，推动企业增资扩产。对接高质量算据资源，联合在能源、金融、汽车、航旅等行业开展AI+算据产业链合作，打造“行业AI+算据产业链基地”，推动京津冀算据资产授权运营与交易平台建设，探索算据资产信贷、保险、证券等金融服务，提升数据要素市场化配置能力。</w:t>
      </w:r>
    </w:p>
    <w:p w14:paraId="5CF88E1B">
      <w:pPr>
        <w:keepNext w:val="0"/>
        <w:keepLines w:val="0"/>
        <w:pageBreakBefore w:val="0"/>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赋能京津冀数字经济生态圈建设。</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用好用足产业基金，支持人工智能、大数据、区块链等前沿领域创新项目，为中小微企业提供低成本、高效率的融资服务，强化数字经济发展的资本支撑。联合科研机构、算力枢纽，聚焦芯片设计、智能算法、工业软件等“卡脖子”技术开展联合攻关，提升数字技术自主创新能力。</w:t>
      </w:r>
    </w:p>
    <w:p w14:paraId="7B684BD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194" w:name="_Toc12319"/>
      <w:bookmarkStart w:id="195" w:name="_Toc13637"/>
      <w:bookmarkStart w:id="196" w:name="_Toc5842"/>
      <w:bookmarkStart w:id="197" w:name="_Toc9923"/>
      <w:bookmarkStart w:id="198" w:name="_Toc16773"/>
      <w:bookmarkStart w:id="199" w:name="_Toc21004"/>
      <w:bookmarkStart w:id="200" w:name="_Toc3975"/>
      <w:bookmarkStart w:id="201" w:name="_Toc14289"/>
      <w:bookmarkStart w:id="202" w:name="_Toc23523"/>
      <w:bookmarkStart w:id="203" w:name="_Toc25237"/>
      <w:bookmarkStart w:id="204" w:name="_Toc7937"/>
      <w:bookmarkStart w:id="205" w:name="_Toc30961"/>
      <w:bookmarkStart w:id="206" w:name="_Toc20122"/>
      <w:bookmarkStart w:id="207" w:name="_Toc13857"/>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（二）深化数字经济国际合作</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A079AB9">
      <w:pPr>
        <w:keepNext w:val="0"/>
        <w:keepLines w:val="0"/>
        <w:pageBreakBefore w:val="0"/>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拓展国际创新合作提升区域开放能级。</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发挥区位优势，积极融入“一带一路”建设，深化与海港、空港联动，以上合组织数字经济论坛、世界智能产业博览会、世界经济论坛新领军者年会（夏季达沃斯论坛）为契机，开展跨境电商、数字贸易等业务，完善跨境物流、支付、供应链金融等全链条服务，打造区域性国际数字贸易节点。依托临空经济区、东丽经开区等载体，吸引企业在人工智能、高端装备制造、生物医药等产业领域设立研发中心。</w:t>
      </w:r>
    </w:p>
    <w:tbl>
      <w:tblPr>
        <w:tblStyle w:val="16"/>
        <w:tblW w:w="88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1"/>
      </w:tblGrid>
      <w:tr w14:paraId="0ACD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i w:val="0"/>
                <w:iCs w:val="0"/>
                <w:color w:val="auto"/>
                <w:sz w:val="32"/>
                <w:szCs w:val="32"/>
                <w:highlight w:val="none"/>
                <w:u w:val="none"/>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专栏6 拓展数字经济开放合作</w:t>
            </w:r>
          </w:p>
        </w:tc>
      </w:tr>
      <w:tr w14:paraId="46FA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E268">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深化区域与国际合作。</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推进京津协同产业承接，精准对接数字经济企业，创新合作机制共建示范园区。拓展国际电商生态合作，联合共建跨境电商体系与物流通道，开拓国际市场。</w:t>
            </w:r>
          </w:p>
          <w:p w14:paraId="23092C6A">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建设创新孵化与科创平台。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联合科研机构，共建人工智能、低空经济、空天信息等前沿领域的创新孵化平台，提供技术研发、人才培育、资金支持等全链条服务，加速科技成果转化与创新企业成长。</w:t>
            </w:r>
          </w:p>
          <w:p w14:paraId="269DAEEA">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构建数据与算力服务生态。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探索建设算据流通生态实验室、AI算据港节点与人工智能产业链创新服务平台，促进数据资源互联与算力协同。建设人工智能高质量数据集与标注服务平台，为产业发展提供高质量数据支撑。</w:t>
            </w:r>
          </w:p>
          <w:p w14:paraId="6AB148A2">
            <w:pPr>
              <w:pStyle w:val="1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搭建行业级产业服务平台。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构建京津冀“人工智能+专利”协同服务平台，打通技术研发至产业应用全链条。建设智能网联汽车产业生态协同平台，推动技术验证与商业落地，加速产业集聚与生态构建。</w:t>
            </w:r>
          </w:p>
        </w:tc>
      </w:tr>
    </w:tbl>
    <w:p w14:paraId="462B98BA">
      <w:pPr>
        <w:keepNext w:val="0"/>
        <w:keepLines w:val="0"/>
        <w:pageBreakBefore w:val="0"/>
        <w:numPr>
          <w:ilvl w:val="0"/>
          <w:numId w:val="0"/>
        </w:numPr>
        <w:kinsoku/>
        <w:wordWrap/>
        <w:overflowPunct/>
        <w:topLinePunct w:val="0"/>
        <w:bidi w:val="0"/>
        <w:snapToGrid/>
        <w:spacing w:beforeAutospacing="0" w:afterAutospacing="0" w:line="560" w:lineRule="exact"/>
        <w:ind w:firstLine="640" w:firstLineChars="200"/>
        <w:textAlignment w:val="auto"/>
        <w:outlineLvl w:val="0"/>
        <w:rPr>
          <w:rFonts w:hint="default" w:ascii="Times New Roman" w:hAnsi="Times New Roman" w:eastAsia="黑体" w:cs="Times New Roman"/>
          <w:b w:val="0"/>
          <w:bCs w:val="0"/>
          <w:color w:val="auto"/>
          <w:sz w:val="32"/>
          <w:szCs w:val="32"/>
          <w:highlight w:val="none"/>
          <w:lang w:val="en-US" w:eastAsia="zh-CN"/>
        </w:rPr>
      </w:pPr>
      <w:bookmarkStart w:id="208" w:name="_Toc26072"/>
      <w:bookmarkStart w:id="209" w:name="_Toc15741"/>
      <w:bookmarkStart w:id="210" w:name="_Toc17853"/>
      <w:bookmarkStart w:id="211" w:name="_Toc16362"/>
      <w:bookmarkStart w:id="212" w:name="_Toc11177"/>
      <w:bookmarkStart w:id="213" w:name="_Toc14290"/>
      <w:r>
        <w:rPr>
          <w:rFonts w:hint="default" w:ascii="Times New Roman" w:hAnsi="Times New Roman" w:eastAsia="黑体" w:cs="Times New Roman"/>
          <w:b w:val="0"/>
          <w:bCs w:val="0"/>
          <w:color w:val="auto"/>
          <w:sz w:val="32"/>
          <w:szCs w:val="32"/>
          <w:highlight w:val="none"/>
          <w:lang w:val="en-US" w:eastAsia="zh-CN"/>
        </w:rPr>
        <w:t>八、推进数据要素市场化改革，释放数据融通价值</w:t>
      </w:r>
      <w:bookmarkEnd w:id="208"/>
      <w:bookmarkEnd w:id="209"/>
      <w:bookmarkEnd w:id="210"/>
      <w:bookmarkEnd w:id="211"/>
      <w:bookmarkEnd w:id="212"/>
      <w:bookmarkEnd w:id="213"/>
    </w:p>
    <w:bookmarkEnd w:id="3"/>
    <w:bookmarkEnd w:id="4"/>
    <w:bookmarkEnd w:id="5"/>
    <w:p w14:paraId="21E529F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14" w:name="_Toc28998"/>
      <w:bookmarkStart w:id="215" w:name="_Toc6829"/>
      <w:bookmarkStart w:id="216" w:name="_Toc7555"/>
      <w:bookmarkStart w:id="217" w:name="_Toc20061"/>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（一）开展数据资源盘点</w:t>
      </w:r>
      <w:bookmarkEnd w:id="214"/>
      <w:bookmarkEnd w:id="215"/>
      <w:bookmarkEnd w:id="216"/>
      <w:bookmarkEnd w:id="217"/>
    </w:p>
    <w:p w14:paraId="2BA55CF8">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精准构建数据资源目录。</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开展全域数据资源普查工作，盘点公共数据资源，摸清数据资源底数。深化公共数据治理，推动实现“一数一源”，加快建立东丽区公共数据资源体系，完善公共数据资源目录，编制数据资源目录。梳理医保、社保等具有高价值的数据资源，明确数据的来源、类型、更新频率、使用范围等关键信息，为后续的数据资产管理和运营提供清晰、准确的指引，确保数据资源的有序管理和高效利用。</w:t>
      </w:r>
    </w:p>
    <w:p w14:paraId="3A7CE9D7">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积极推进公共数据授权运营。</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健全公共数据授权运营机制，建立数据价值化全流程工作方案，开展医疗健康、文化媒资、物流交通、城市治理等领域的公共数据授权运营试点工作，以点带面推动公共数据资源的深度开发和利用。鼓励授权运营方结合市场需求和技术创新，开发多样化的数据产品和服务，促进数据要素在不同主体之间的有序流动和优化配置，充分释放公共数据的经济价值和社会价值。</w:t>
      </w:r>
    </w:p>
    <w:p w14:paraId="5939295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18" w:name="_Toc26880"/>
      <w:bookmarkStart w:id="219" w:name="_Toc32339"/>
      <w:bookmarkStart w:id="220" w:name="_Toc6787"/>
      <w:bookmarkStart w:id="221" w:name="_Toc594"/>
      <w:bookmarkStart w:id="222" w:name="_Toc2482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（二）培育数据要素市场</w:t>
      </w:r>
      <w:bookmarkEnd w:id="218"/>
      <w:bookmarkEnd w:id="219"/>
      <w:bookmarkEnd w:id="220"/>
      <w:bookmarkEnd w:id="221"/>
      <w:bookmarkEnd w:id="222"/>
    </w:p>
    <w:p w14:paraId="100CF5ED">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建立数据要素收益分配制度。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探索公共数据收益分配办法，形成根据数据供给和运营评价、市场反馈等因素动态调整的收益分配机制，研究制定公共数据收益分配协议参考范式并推广。支持企业参与探索数据开发利用收益分配机制，鼓励采用分红、提成等方式合理分配收益。</w:t>
      </w:r>
    </w:p>
    <w:p w14:paraId="41A460EE">
      <w:pPr>
        <w:keepNext w:val="0"/>
        <w:keepLines w:val="0"/>
        <w:pageBreakBefore w:val="0"/>
        <w:numPr>
          <w:ilvl w:val="0"/>
          <w:numId w:val="0"/>
        </w:numPr>
        <w:kinsoku/>
        <w:wordWrap/>
        <w:overflowPunct/>
        <w:topLinePunct w:val="0"/>
        <w:bidi w:val="0"/>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加大数据资源供给力度。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立健全公共数据共享开放机制，制定公共数据开放清单，有序开放公共数据。引育企业提供数据资产化与授权运营全流程解决方案，推动数据合规高效开发。探索建立企业数据开放供给激励机制，鼓励企业在生产经营活动中产生的数据参与数据要素市场化流通。</w:t>
      </w:r>
    </w:p>
    <w:p w14:paraId="76C832D5">
      <w:pPr>
        <w:keepNext w:val="0"/>
        <w:keepLines w:val="0"/>
        <w:pageBreakBefore w:val="0"/>
        <w:numPr>
          <w:ilvl w:val="0"/>
          <w:numId w:val="0"/>
        </w:numPr>
        <w:kinsoku/>
        <w:wordWrap/>
        <w:overflowPunct/>
        <w:topLinePunct w:val="0"/>
        <w:autoSpaceDE/>
        <w:autoSpaceDN/>
        <w:bidi w:val="0"/>
        <w:adjustRightInd/>
        <w:snapToGrid/>
        <w:spacing w:beforeAutospacing="0" w:afterAutospacing="0" w:line="55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打造高质量数据集。</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围绕医疗健康、智能制造、低空经济、智能网联汽车等行业领域，开展数据质量评价与价值评估，打造面向大模型的高质量数据集。推动数据产品标准实施。支持数据标注基地先行先试，加快开展数据标注产业生态构建、能力提升和场景应用，做大做强数据标注产业。</w:t>
      </w:r>
    </w:p>
    <w:p w14:paraId="48460014">
      <w:pPr>
        <w:keepNext w:val="0"/>
        <w:keepLines w:val="0"/>
        <w:pageBreakBefore w:val="0"/>
        <w:numPr>
          <w:ilvl w:val="0"/>
          <w:numId w:val="0"/>
        </w:numPr>
        <w:kinsoku/>
        <w:wordWrap/>
        <w:overflowPunct/>
        <w:topLinePunct w:val="0"/>
        <w:autoSpaceDE/>
        <w:autoSpaceDN/>
        <w:bidi w:val="0"/>
        <w:adjustRightInd/>
        <w:snapToGrid/>
        <w:spacing w:beforeAutospacing="0" w:afterAutospacing="0" w:line="55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推进数据资源开发利用。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制定加快数据资源开发利用实施意见，探索建立数据开发利用全流程制度，统筹推进各类数据资源开发利用。推动智能制造、文化旅游、医疗健康、交通运输、低空经济、航空航天、智能网联汽车、卫星遥感、知识产权、地质调查等领域数据融合应用，打造一批数据资源开发利用典型场景。鼓励企业自行投资牵头建设、运营行业可信数据空间。</w:t>
      </w:r>
    </w:p>
    <w:p w14:paraId="0C45146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23" w:name="_Toc29103"/>
      <w:bookmarkStart w:id="224" w:name="_Toc10876"/>
      <w:bookmarkStart w:id="225" w:name="_Toc13299"/>
      <w:bookmarkStart w:id="226" w:name="_Toc16642"/>
      <w:bookmarkStart w:id="227" w:name="_Toc14446"/>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（三）推进数据资产价值实现</w:t>
      </w:r>
      <w:bookmarkEnd w:id="223"/>
      <w:bookmarkEnd w:id="224"/>
      <w:bookmarkEnd w:id="225"/>
      <w:bookmarkEnd w:id="226"/>
      <w:bookmarkEnd w:id="227"/>
    </w:p>
    <w:p w14:paraId="4309BEEB">
      <w:pPr>
        <w:keepNext w:val="0"/>
        <w:keepLines w:val="0"/>
        <w:pageBreakBefore w:val="0"/>
        <w:numPr>
          <w:ilvl w:val="0"/>
          <w:numId w:val="0"/>
        </w:numPr>
        <w:kinsoku/>
        <w:wordWrap/>
        <w:overflowPunct/>
        <w:topLinePunct w:val="0"/>
        <w:autoSpaceDE/>
        <w:autoSpaceDN/>
        <w:bidi w:val="0"/>
        <w:adjustRightInd/>
        <w:snapToGrid/>
        <w:spacing w:beforeAutospacing="0" w:afterAutospacing="0" w:line="55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数据资产确权与评估。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立数据资产确权登记机制，明确数据产权归属，推动数据资源持有权、加工使用权、产品经营权分置改革。依据数据质量、应用场景、市场潜力等维度，构建数据资产价值评估模型，为数据资本化提供价值基准。</w:t>
      </w:r>
    </w:p>
    <w:p w14:paraId="05623D1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数据资产入表与融资创新。</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支持企业将符合条件的数据资产纳入财务报表，推动数据资产作为无形资产进行核算。鼓励金融机构开发数据资产质押融资、数据资产证券化等金融产品，探索“数据+信用”融资模式，拓宽企业融资渠道。</w:t>
      </w:r>
    </w:p>
    <w:p w14:paraId="7685B97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数据股权投资与产业孵化。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激活数据资源金融属性，设立数据要素产业投资基金，以数据资产作价入股方式参与数字经济企业培育，推动数据资产转化为股权资本。依托数字经济新产业基地，吸引数据密集型企业、数据服务商入驻，形成“数据采集-资产化-资本化-产业化”全链条生态。</w:t>
      </w:r>
    </w:p>
    <w:p w14:paraId="00FF4E5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28" w:name="_Toc1754"/>
      <w:bookmarkStart w:id="229" w:name="_Toc10677"/>
      <w:bookmarkStart w:id="230" w:name="_Toc11823"/>
      <w:bookmarkStart w:id="231" w:name="_Toc6196"/>
      <w:bookmarkStart w:id="232" w:name="_Toc31017"/>
      <w:bookmarkStart w:id="233" w:name="_Toc21655"/>
      <w:bookmarkStart w:id="234" w:name="_Toc31803"/>
      <w:bookmarkStart w:id="235" w:name="_Toc20214"/>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（四）统筹数据安全与治理</w:t>
      </w:r>
      <w:bookmarkEnd w:id="228"/>
      <w:bookmarkEnd w:id="229"/>
      <w:bookmarkEnd w:id="230"/>
      <w:bookmarkEnd w:id="231"/>
      <w:bookmarkEnd w:id="232"/>
      <w:bookmarkEnd w:id="233"/>
      <w:bookmarkEnd w:id="234"/>
      <w:bookmarkEnd w:id="235"/>
    </w:p>
    <w:p w14:paraId="21ED20D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236" w:name="_Toc2542"/>
      <w:bookmarkStart w:id="237" w:name="_Toc7872"/>
      <w:bookmarkStart w:id="238" w:name="_Toc2053"/>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强化数据安全治理监管。</w:t>
      </w:r>
      <w:bookmarkEnd w:id="236"/>
      <w:bookmarkEnd w:id="237"/>
      <w:bookmarkEnd w:id="238"/>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落实数据分类分级制度，加强重要数据安全保护，防范数据滥用风险，提升数据安全治理监管能力。引导企业加强数据合规体系建设和监管，规范开展数据分类分级、重要数据识别和安全风险评估，支持其通过开展数据安全管理认证、数据管理能力成熟度评估模型评估等方式，提升数据安全管理能力。广泛开展教育培训，提升全社会数据安全意识。</w:t>
      </w:r>
    </w:p>
    <w:tbl>
      <w:tblPr>
        <w:tblStyle w:val="16"/>
        <w:tblW w:w="890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2"/>
      </w:tblGrid>
      <w:tr w14:paraId="11E9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2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Times New Roman" w:hAnsi="Times New Roman" w:eastAsia="仿宋" w:cs="Times New Roman"/>
                <w:b/>
                <w:bCs/>
                <w:i w:val="0"/>
                <w:iCs w:val="0"/>
                <w:color w:val="auto"/>
                <w:sz w:val="32"/>
                <w:szCs w:val="32"/>
                <w:highlight w:val="none"/>
                <w:u w:val="none"/>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专栏7 东丽区数据要素流通应用试点</w:t>
            </w:r>
          </w:p>
        </w:tc>
      </w:tr>
      <w:tr w14:paraId="1264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49DC">
            <w:pPr>
              <w:pageBreakBefore w:val="0"/>
              <w:kinsoku/>
              <w:wordWrap/>
              <w:overflowPunct/>
              <w:topLinePunct w:val="0"/>
              <w:bidi w:val="0"/>
              <w:snapToGrid/>
              <w:spacing w:line="560" w:lineRule="exact"/>
              <w:ind w:firstLine="643"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推进公共数据授权运营。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开展医疗健康、交通物流、城市治理等领域公共数据授权运营试点，推动公共数据资源有序开发利用。积极承接市级可信数据空间试点，探索区域数据合规应用模式。</w:t>
            </w:r>
          </w:p>
          <w:p w14:paraId="4C1004C7">
            <w:pPr>
              <w:pageBreakBefore w:val="0"/>
              <w:kinsoku/>
              <w:wordWrap/>
              <w:overflowPunct/>
              <w:topLinePunct w:val="0"/>
              <w:bidi w:val="0"/>
              <w:snapToGrid/>
              <w:spacing w:line="560" w:lineRule="exact"/>
              <w:ind w:firstLine="643"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建设多层次可信数据空间。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支持企业与机构建设企业及行业可信数据空间，聚焦遥感、低空、地质、医疗等领域，构建安全可信、协同共享的数据流通环境，支撑行业创新与智慧应用。</w:t>
            </w:r>
          </w:p>
          <w:p w14:paraId="1EFDB10D">
            <w:pPr>
              <w:pageBreakBefore w:val="0"/>
              <w:kinsoku/>
              <w:wordWrap/>
              <w:overflowPunct/>
              <w:topLinePunct w:val="0"/>
              <w:bidi w:val="0"/>
              <w:snapToGrid/>
              <w:spacing w:line="560" w:lineRule="exact"/>
              <w:ind w:firstLine="643" w:firstLineChars="200"/>
              <w:rPr>
                <w:rFonts w:hint="default" w:ascii="Times New Roman" w:hAnsi="Times New Roman" w:eastAsia="仿宋" w:cs="Times New Roman"/>
                <w:i w:val="0"/>
                <w:iCs w:val="0"/>
                <w:color w:val="auto"/>
                <w:kern w:val="0"/>
                <w:sz w:val="32"/>
                <w:szCs w:val="32"/>
                <w:highlight w:val="none"/>
                <w:u w:val="none"/>
                <w:lang w:bidi="ar"/>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培育数据资产化与交易生态。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推动数据资产登记与入表实践，在公共事业等领域开展试点。依托大数据交易平台，设立区域服务节点，提供登记、评估、交易等全流程服务，促进高价值数据产品市场化流通。</w:t>
            </w:r>
          </w:p>
        </w:tc>
      </w:tr>
    </w:tbl>
    <w:p w14:paraId="785E342B">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bookmarkStart w:id="239" w:name="_Toc18763"/>
      <w:bookmarkStart w:id="240" w:name="_Toc11107"/>
      <w:bookmarkStart w:id="241" w:name="_Toc21609"/>
      <w:bookmarkStart w:id="242" w:name="_Toc203989532"/>
      <w:bookmarkStart w:id="243" w:name="_Toc206498528"/>
      <w:bookmarkStart w:id="244" w:name="_Toc31450"/>
      <w:bookmarkStart w:id="245" w:name="_Toc28027"/>
      <w:bookmarkStart w:id="246" w:name="_Toc26639"/>
      <w:r>
        <w:rPr>
          <w:rFonts w:hint="default" w:ascii="Times New Roman" w:hAnsi="Times New Roman" w:eastAsia="黑体" w:cs="Times New Roman"/>
          <w:b w:val="0"/>
          <w:bCs w:val="0"/>
          <w:color w:val="auto"/>
          <w:kern w:val="2"/>
          <w:sz w:val="32"/>
          <w:szCs w:val="32"/>
          <w:highlight w:val="none"/>
          <w:lang w:val="en-US" w:eastAsia="zh-CN" w:bidi="ar-SA"/>
        </w:rPr>
        <w:t>九</w:t>
      </w:r>
      <w:r>
        <w:rPr>
          <w:rFonts w:hint="default" w:ascii="Times New Roman" w:hAnsi="Times New Roman" w:eastAsia="黑体" w:cs="Times New Roman"/>
          <w:b w:val="0"/>
          <w:bCs w:val="0"/>
          <w:color w:val="auto"/>
          <w:kern w:val="2"/>
          <w:sz w:val="32"/>
          <w:szCs w:val="32"/>
          <w:highlight w:val="none"/>
          <w:lang w:bidi="ar-SA"/>
        </w:rPr>
        <w:t>、</w:t>
      </w:r>
      <w:bookmarkEnd w:id="239"/>
      <w:bookmarkEnd w:id="240"/>
      <w:bookmarkEnd w:id="241"/>
      <w:bookmarkEnd w:id="242"/>
      <w:bookmarkEnd w:id="243"/>
      <w:bookmarkStart w:id="247" w:name="_Hlk205961191"/>
      <w:r>
        <w:rPr>
          <w:rFonts w:hint="default" w:ascii="Times New Roman" w:hAnsi="Times New Roman" w:eastAsia="黑体" w:cs="Times New Roman"/>
          <w:b w:val="0"/>
          <w:bCs w:val="0"/>
          <w:color w:val="auto"/>
          <w:kern w:val="2"/>
          <w:sz w:val="32"/>
          <w:szCs w:val="32"/>
          <w:highlight w:val="none"/>
          <w:lang w:val="en-US" w:eastAsia="zh-CN" w:bidi="ar-SA"/>
        </w:rPr>
        <w:t>推动区域差异化发展，</w:t>
      </w:r>
      <w:r>
        <w:rPr>
          <w:rStyle w:val="18"/>
          <w:rFonts w:hint="default" w:ascii="Times New Roman" w:hAnsi="Times New Roman" w:eastAsia="黑体" w:cs="Times New Roman"/>
          <w:b w:val="0"/>
          <w:bCs w:val="0"/>
          <w:i w:val="0"/>
          <w:iCs w:val="0"/>
          <w:caps w:val="0"/>
          <w:color w:val="auto"/>
          <w:spacing w:val="0"/>
          <w:kern w:val="2"/>
          <w:sz w:val="32"/>
          <w:szCs w:val="32"/>
          <w:highlight w:val="none"/>
          <w:shd w:val="clear"/>
          <w:lang w:bidi="ar-SA"/>
        </w:rPr>
        <w:t>擘画</w:t>
      </w:r>
      <w:r>
        <w:rPr>
          <w:rFonts w:hint="default" w:ascii="Times New Roman" w:hAnsi="Times New Roman" w:eastAsia="黑体" w:cs="Times New Roman"/>
          <w:b w:val="0"/>
          <w:bCs w:val="0"/>
          <w:color w:val="auto"/>
          <w:kern w:val="2"/>
          <w:sz w:val="32"/>
          <w:szCs w:val="32"/>
          <w:highlight w:val="none"/>
          <w:lang w:val="en-US" w:eastAsia="zh-CN" w:bidi="ar-SA"/>
        </w:rPr>
        <w:t>优势互补创新</w:t>
      </w:r>
      <w:r>
        <w:rPr>
          <w:rFonts w:hint="default" w:ascii="Times New Roman" w:hAnsi="Times New Roman" w:eastAsia="黑体" w:cs="Times New Roman"/>
          <w:b w:val="0"/>
          <w:bCs w:val="0"/>
          <w:color w:val="auto"/>
          <w:kern w:val="2"/>
          <w:sz w:val="32"/>
          <w:szCs w:val="32"/>
          <w:highlight w:val="none"/>
          <w:lang w:bidi="ar-SA"/>
        </w:rPr>
        <w:t>布局</w:t>
      </w:r>
      <w:bookmarkEnd w:id="244"/>
      <w:bookmarkEnd w:id="245"/>
      <w:bookmarkEnd w:id="246"/>
    </w:p>
    <w:bookmarkEnd w:id="247"/>
    <w:p w14:paraId="7D203A0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 w:cs="Times New Roman"/>
          <w:b w:val="0"/>
          <w:bCs w:val="0"/>
          <w:color w:val="auto"/>
          <w:sz w:val="32"/>
          <w:szCs w:val="32"/>
          <w:highlight w:val="none"/>
          <w:lang w:val="en-US" w:eastAsia="zh-CN"/>
        </w:rPr>
      </w:pPr>
      <w:bookmarkStart w:id="248" w:name="_Toc9704"/>
      <w:bookmarkStart w:id="249" w:name="_Toc32710"/>
      <w:bookmarkStart w:id="250" w:name="_Toc23713"/>
      <w:bookmarkStart w:id="251" w:name="_Toc1409"/>
      <w:bookmarkStart w:id="252" w:name="_Toc206498529"/>
      <w:bookmarkStart w:id="253" w:name="_Toc203989533"/>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（一）东丽经开区</w:t>
      </w:r>
      <w:bookmarkEnd w:id="248"/>
      <w:bookmarkEnd w:id="249"/>
      <w:bookmarkEnd w:id="250"/>
      <w:bookmarkEnd w:id="251"/>
    </w:p>
    <w:p w14:paraId="6D51003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254" w:name="_Toc31275"/>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打造数据要素与人工智能创新发展核心区。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发挥经开区汽车、医疗器械及生物医药、新材料、生产性服务业等产业基础优势，以“一核三轴多场景”为总体思路，构建数据驱动型数字经济生态体系。“一核”围绕数据要素市场化配置，以强化公共数据授权运营机制为核心。“三轴”一是平台经济引领，打造东丽数字产业化新经济基地，吸引数据产业、生物医药、医疗器械、电商服务、物流供应链等领域企业入驻，强化产业链上下游协同效应；二是人工智能驱动，打造“人工智能+”产业基地，夯实人工智能发展基础；三是以数据要素价值化引领，开展公共数据运营平台建设，探索公共数据委托运营及价值实现路径，推动北方大数据交易中心建设东丽分中心。多场景是围绕智能网联、商业航天、智慧医疗、低空经济等应用场景，开展可信数据空间建设和数据赋能产业等</w:t>
      </w:r>
      <w:bookmarkEnd w:id="254"/>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1502B7A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55" w:name="_Toc21722"/>
      <w:bookmarkStart w:id="256" w:name="_Toc6425"/>
      <w:bookmarkStart w:id="257" w:name="_Toc1273"/>
      <w:bookmarkStart w:id="258" w:name="_Toc23200"/>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（二）临空经济区</w:t>
      </w:r>
      <w:bookmarkEnd w:id="255"/>
      <w:bookmarkEnd w:id="256"/>
      <w:bookmarkEnd w:id="257"/>
      <w:bookmarkEnd w:id="258"/>
    </w:p>
    <w:p w14:paraId="1F690D9E">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建设数字贸易发展示范区与低空经济集聚区。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发挥临空经济区区位优势，着力打造航空总部、航空物流、低空经济、跨境电商、智能制造、临空商贸等产业集群，建设数字贸易发展示范区。构建“线上+线下”全链条服务体系，试点跨境电商出口海外仓模式，打造集保税展示、智能仓储、快速通关于一体的跨境电商产业集聚区。发展航空跨境直邮、医药跨境电商等业务，配套建设跨境电商商品质量溯源中心，并布局低空数据综合应用平台，推动低空数据采集、处理与场景创新。积极推进数字贸易创新发展，承接来数加工业务，为数据要素提供收集、存储、加工、治理、交易等增值服务，强化数联网支撑能力，构建安全可信、高效互联的数据流通环境，促进低空数据等要素市场化配置与融合应用。</w:t>
      </w:r>
    </w:p>
    <w:p w14:paraId="51EE4AE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59" w:name="_Toc5511"/>
      <w:bookmarkStart w:id="260" w:name="_Toc9169"/>
      <w:bookmarkStart w:id="261" w:name="_Toc31478"/>
      <w:bookmarkStart w:id="262" w:name="_Toc2557"/>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（三）华明高新区</w:t>
      </w:r>
      <w:bookmarkEnd w:id="259"/>
      <w:bookmarkEnd w:id="260"/>
      <w:bookmarkEnd w:id="261"/>
      <w:bookmarkEnd w:id="262"/>
    </w:p>
    <w:p w14:paraId="387A626A">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构建智能制造与数字健康产业创新引领区。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立足医疗健康、智能装备制造、新材料及知识产权服务业等“3+1”主导产业，实施分类推进、精准赋能的智能化升级战略，打造自主可控的智能化产业生态。发展高端装备制造、新能源新材料领域，推动企业开展智能化技术研发应用，引领高端复合材料与智慧制造创新。大力发展数字健康产业，推动医疗健康与人工智能、大数据等新技术深度融合，建设智慧医疗平台，发展远程医疗、智慧康养等新业态，完善健康大数据应用体系，促进医疗健康服务数字化、智能化转型。</w:t>
      </w:r>
    </w:p>
    <w:p w14:paraId="35EBAF3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63" w:name="_Toc21920"/>
      <w:bookmarkStart w:id="264" w:name="_Toc2146"/>
      <w:bookmarkStart w:id="265" w:name="_Toc1212"/>
      <w:bookmarkStart w:id="266" w:name="_Toc17658"/>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（四）东丽湖现代服务业示范区</w:t>
      </w:r>
      <w:bookmarkEnd w:id="263"/>
      <w:bookmarkEnd w:id="264"/>
      <w:bookmarkEnd w:id="265"/>
      <w:bookmarkEnd w:id="266"/>
    </w:p>
    <w:p w14:paraId="551329E8">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培育数字文旅与现代服务融合集聚区。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承接商贸文旅、直播电商、地热装备、科技服务等产业，推动现代服务业数字化转型升级。商贸文旅领域发展智慧商圈、数字文旅等新业态，推动线上线下消费深度融合，打造数字化消费新场景。积极探索直播电商新模式，链接特色产业资源，优化直播场景，持续激活数字消费潜力。围绕数据的开发利用、价值推动谋划地质调查可信空间建设项目。以数字经济为纽带，推动科技型企业转型升级，在技术研发、成果转化、产业适配等环节给予支持。聚焦人工智能等前沿数字科技产业强化招商引资，发挥京津冀平台作用积极承接优质项目，推动产业数字化转型。</w:t>
      </w:r>
      <w:bookmarkEnd w:id="252"/>
      <w:bookmarkEnd w:id="253"/>
    </w:p>
    <w:p w14:paraId="458D97B3">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2"/>
          <w:highlight w:val="none"/>
        </w:rPr>
      </w:pPr>
      <w:bookmarkStart w:id="267" w:name="_Toc2922"/>
      <w:bookmarkStart w:id="268" w:name="_Toc25589"/>
      <w:bookmarkStart w:id="269" w:name="_Toc11706"/>
      <w:bookmarkStart w:id="270" w:name="_Toc28894"/>
      <w:bookmarkStart w:id="271" w:name="_Toc31477"/>
      <w:bookmarkStart w:id="272" w:name="_Toc18157"/>
      <w:bookmarkStart w:id="273" w:name="_Toc7332"/>
      <w:bookmarkStart w:id="274" w:name="_Toc3741"/>
      <w:bookmarkStart w:id="275" w:name="_Toc3517"/>
      <w:r>
        <w:rPr>
          <w:rFonts w:hint="default" w:ascii="Times New Roman" w:hAnsi="Times New Roman" w:eastAsia="黑体" w:cs="Times New Roman"/>
          <w:b w:val="0"/>
          <w:bCs w:val="0"/>
          <w:color w:val="auto"/>
          <w:sz w:val="32"/>
          <w:szCs w:val="32"/>
          <w:highlight w:val="none"/>
          <w:lang w:val="en-US" w:eastAsia="zh-CN"/>
        </w:rPr>
        <w:t>十</w:t>
      </w:r>
      <w:r>
        <w:rPr>
          <w:rFonts w:hint="default" w:ascii="Times New Roman" w:hAnsi="Times New Roman" w:eastAsia="黑体" w:cs="Times New Roman"/>
          <w:b w:val="0"/>
          <w:bCs w:val="0"/>
          <w:color w:val="auto"/>
          <w:sz w:val="32"/>
          <w:szCs w:val="32"/>
          <w:highlight w:val="none"/>
        </w:rPr>
        <w:t>、保障措施</w:t>
      </w:r>
      <w:bookmarkEnd w:id="267"/>
      <w:bookmarkEnd w:id="268"/>
      <w:bookmarkEnd w:id="269"/>
      <w:bookmarkEnd w:id="270"/>
      <w:bookmarkEnd w:id="271"/>
      <w:bookmarkEnd w:id="272"/>
      <w:bookmarkEnd w:id="273"/>
      <w:bookmarkEnd w:id="274"/>
      <w:bookmarkEnd w:id="275"/>
    </w:p>
    <w:p w14:paraId="2A5B861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76" w:name="_Toc16204"/>
      <w:bookmarkStart w:id="277" w:name="_Toc19002"/>
      <w:bookmarkStart w:id="278" w:name="_Toc5935"/>
      <w:bookmarkStart w:id="279" w:name="_Toc18023"/>
      <w:bookmarkStart w:id="280" w:name="_Toc1559"/>
      <w:bookmarkStart w:id="281" w:name="_Toc22689"/>
      <w:bookmarkStart w:id="282" w:name="_Toc9708"/>
      <w:bookmarkStart w:id="283" w:name="_Toc23479"/>
      <w:bookmarkStart w:id="284" w:name="_Toc10897"/>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（一）加强统筹协调组织实施力度</w:t>
      </w:r>
      <w:bookmarkEnd w:id="276"/>
      <w:bookmarkEnd w:id="277"/>
      <w:bookmarkEnd w:id="278"/>
      <w:bookmarkEnd w:id="279"/>
      <w:bookmarkEnd w:id="280"/>
      <w:bookmarkEnd w:id="281"/>
      <w:bookmarkEnd w:id="282"/>
      <w:bookmarkEnd w:id="283"/>
      <w:bookmarkEnd w:id="284"/>
    </w:p>
    <w:p w14:paraId="5E781B63">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相关部门加强协同配合，形成工作合力，统筹推进全区数字经济发展。加强对数字经济政策的解读和宣传力度，组织科研机构及企业协会专家团队开展数据大讲堂等活动，宣讲数字经济理论与实践。整合资源，为数字经济发展战略研究、政府科学决策提供技术支撑和智库保障，确保规划主要任务和重要措施落地实施。</w:t>
      </w:r>
    </w:p>
    <w:p w14:paraId="6315762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85" w:name="_Toc99"/>
      <w:bookmarkStart w:id="286" w:name="_Toc3341"/>
      <w:bookmarkStart w:id="287" w:name="_Toc17589"/>
      <w:bookmarkStart w:id="288" w:name="_Toc18787"/>
      <w:bookmarkStart w:id="289" w:name="_Toc16860"/>
      <w:bookmarkStart w:id="290" w:name="_Toc25240"/>
      <w:bookmarkStart w:id="291" w:name="_Toc5210"/>
      <w:bookmarkStart w:id="292" w:name="_Toc16192"/>
      <w:bookmarkStart w:id="293" w:name="_Toc4903"/>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（二）优化金融资源市场配置效率</w:t>
      </w:r>
      <w:bookmarkEnd w:id="285"/>
      <w:bookmarkEnd w:id="286"/>
      <w:bookmarkEnd w:id="287"/>
      <w:bookmarkEnd w:id="288"/>
      <w:bookmarkEnd w:id="289"/>
      <w:bookmarkEnd w:id="290"/>
      <w:bookmarkEnd w:id="291"/>
      <w:bookmarkEnd w:id="292"/>
      <w:bookmarkEnd w:id="293"/>
    </w:p>
    <w:p w14:paraId="77E85600">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bookmarkStart w:id="294" w:name="_Toc2487"/>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积极推动市场主体申报专项债、超长期国债、中央预算内投资补助和贴息项目等中央和市级政策，用好新型政策性金融工具。鼓励金融机构创新金融产品，加大对数字经济核心产业的信贷支持力度。引导社会资本设立市场化运作的数字经济细分领域产业基金。支持符合条件的数字经济企业通过多层次资本市场融资。</w:t>
      </w:r>
      <w:bookmarkEnd w:id="294"/>
    </w:p>
    <w:p w14:paraId="2C44A5E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295" w:name="_Toc21898"/>
      <w:bookmarkStart w:id="296" w:name="_Toc24566"/>
      <w:bookmarkStart w:id="297" w:name="_Toc31463"/>
      <w:bookmarkStart w:id="298" w:name="_Toc18860"/>
      <w:bookmarkStart w:id="299" w:name="_Toc3438"/>
      <w:bookmarkStart w:id="300" w:name="_Toc31583"/>
      <w:bookmarkStart w:id="301" w:name="_Toc22725"/>
      <w:bookmarkStart w:id="302" w:name="_Toc10695"/>
      <w:bookmarkStart w:id="303" w:name="_Toc2162"/>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（三）提升优质人才引进培育水平</w:t>
      </w:r>
      <w:bookmarkEnd w:id="295"/>
      <w:bookmarkEnd w:id="296"/>
      <w:bookmarkEnd w:id="297"/>
      <w:bookmarkEnd w:id="298"/>
      <w:bookmarkEnd w:id="299"/>
      <w:bookmarkEnd w:id="300"/>
      <w:bookmarkEnd w:id="301"/>
      <w:bookmarkEnd w:id="302"/>
      <w:bookmarkEnd w:id="303"/>
    </w:p>
    <w:p w14:paraId="51C351BB">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开展干部数字治理与数字化转型能力提升工程，面向政府单位开设“大数据+政务”系列课程，提升干部在经济发展、民生服务、社会监管、应急处突、城市治理等领域的业务水平和决策能力。实施多层次数字人才培养计划，与高校共建数字经济人才培养基地，定期开展人才需求调研和对接活动。</w:t>
      </w:r>
    </w:p>
    <w:p w14:paraId="28C63E1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304" w:name="_Toc17077"/>
      <w:bookmarkStart w:id="305" w:name="_Toc25707"/>
      <w:bookmarkStart w:id="306" w:name="_Toc21635"/>
      <w:bookmarkStart w:id="307" w:name="_Toc7859"/>
      <w:bookmarkStart w:id="308" w:name="_Toc21837"/>
      <w:bookmarkStart w:id="309" w:name="_Toc23784"/>
      <w:bookmarkStart w:id="310" w:name="_Toc10217"/>
      <w:bookmarkStart w:id="311" w:name="_Toc10815"/>
      <w:bookmarkStart w:id="312" w:name="_Toc21503"/>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（四）完善数字经济监测评估体系</w:t>
      </w:r>
      <w:bookmarkEnd w:id="304"/>
      <w:bookmarkEnd w:id="305"/>
      <w:bookmarkEnd w:id="306"/>
      <w:bookmarkEnd w:id="307"/>
      <w:bookmarkEnd w:id="308"/>
      <w:bookmarkEnd w:id="309"/>
      <w:bookmarkEnd w:id="310"/>
      <w:bookmarkEnd w:id="311"/>
      <w:bookmarkEnd w:id="312"/>
    </w:p>
    <w:p w14:paraId="63443CC5">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定期开展数字经济统计监测评估，准确掌握数字经济发展动态。加强对重点任务和重大项目的跟踪监测和成效分析，强化协同工作机制，定期完成区数字经济核心产业经济运行分析。定期开展规划实施情况评估，指导各相关单位结合实际制定配套措施，确保规划落地见效。</w:t>
      </w:r>
    </w:p>
    <w:p w14:paraId="781718F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313" w:name="_Toc8553"/>
      <w:bookmarkStart w:id="314" w:name="_Toc12727"/>
      <w:bookmarkStart w:id="315" w:name="_Toc12222"/>
      <w:bookmarkStart w:id="316" w:name="_Toc202"/>
      <w:bookmarkStart w:id="317" w:name="_Toc20286"/>
      <w:bookmarkStart w:id="318" w:name="_Toc27420"/>
      <w:bookmarkStart w:id="319" w:name="_Toc785"/>
      <w:bookmarkStart w:id="320" w:name="_Toc15985"/>
      <w:bookmarkStart w:id="321" w:name="_Toc1217"/>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（五）健全数字经济科学治理体系</w:t>
      </w:r>
      <w:bookmarkEnd w:id="313"/>
      <w:bookmarkEnd w:id="314"/>
      <w:bookmarkEnd w:id="315"/>
      <w:bookmarkEnd w:id="316"/>
      <w:bookmarkEnd w:id="317"/>
      <w:bookmarkEnd w:id="318"/>
      <w:bookmarkEnd w:id="319"/>
      <w:bookmarkEnd w:id="320"/>
      <w:bookmarkEnd w:id="321"/>
    </w:p>
    <w:p w14:paraId="122DF34B">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推进国家、市各级创新基金等政策直达企业。推进相关数据资源开放、共享及授权运营，加强标准及制度体系建设，推动数字经济行业规范发展。建立多元共治机制，发挥行业协会等社会组织作用。加强数据知识产权保护，营造良好创新环境。</w:t>
      </w:r>
    </w:p>
    <w:p w14:paraId="2DA8927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pPr>
      <w:bookmarkStart w:id="322" w:name="_Toc14022"/>
      <w:bookmarkStart w:id="323" w:name="_Toc7484"/>
      <w:bookmarkStart w:id="324" w:name="_Toc24141"/>
      <w:bookmarkStart w:id="325" w:name="_Toc22295"/>
      <w:bookmarkStart w:id="326" w:name="_Toc14870"/>
      <w:bookmarkStart w:id="327" w:name="_Toc847"/>
      <w:bookmarkStart w:id="328" w:name="_Toc13158"/>
      <w:bookmarkStart w:id="329" w:name="_Toc8114"/>
      <w:bookmarkStart w:id="330" w:name="_Toc2399"/>
      <w:r>
        <w:rPr>
          <w:rFonts w:hint="default" w:ascii="Times New Roman" w:hAnsi="Times New Roman" w:eastAsia="楷体_GB2312" w:cs="Times New Roman"/>
          <w:bCs/>
          <w:color w:val="000000" w:themeColor="text1"/>
          <w:kern w:val="2"/>
          <w:sz w:val="32"/>
          <w:szCs w:val="32"/>
          <w:highlight w:val="none"/>
          <w:lang w:val="en-US" w:eastAsia="zh-CN" w:bidi="ar-SA"/>
          <w14:textFill>
            <w14:solidFill>
              <w14:schemeClr w14:val="tx1"/>
            </w14:solidFill>
          </w14:textFill>
        </w:rPr>
        <w:t>（六）提升数字经济安全保障能力</w:t>
      </w:r>
      <w:bookmarkEnd w:id="322"/>
      <w:bookmarkEnd w:id="323"/>
      <w:bookmarkEnd w:id="324"/>
      <w:bookmarkEnd w:id="325"/>
      <w:bookmarkEnd w:id="326"/>
      <w:bookmarkEnd w:id="327"/>
      <w:bookmarkEnd w:id="328"/>
      <w:bookmarkEnd w:id="329"/>
      <w:bookmarkEnd w:id="330"/>
    </w:p>
    <w:p w14:paraId="00634DD0">
      <w:pPr>
        <w:keepNext w:val="0"/>
        <w:keepLines w:val="0"/>
        <w:pageBreakBefore w:val="0"/>
        <w:numPr>
          <w:ilvl w:val="0"/>
          <w:numId w:val="0"/>
        </w:numPr>
        <w:kinsoku/>
        <w:wordWrap/>
        <w:overflowPunct/>
        <w:topLinePunct w:val="0"/>
        <w:bidi w:val="0"/>
        <w:snapToGrid/>
        <w:spacing w:line="560" w:lineRule="exact"/>
        <w:ind w:firstLine="640" w:firstLineChars="200"/>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落实数据分类分级制度，加强重要数据安全保护，防范数据滥用风险，提升数据安全治理监管能力。强化技术防护，提升关键信息基础设施防护能力。充分发挥密码技术在网络和数字安全方面的基础性支撑作用，加强互联网保密监管和风险预警。健全应急机制，建立网络安全事件应急预案，定期开展应急演练。建立数字经济产业链安全评估机制，定期开展安全风险评估和隐患排查。加强数字经济安全宣传教育，提升全社会数字安全意识。</w:t>
      </w:r>
      <w:bookmarkStart w:id="331" w:name="_GoBack"/>
      <w:bookmarkEnd w:id="331"/>
    </w:p>
    <w:sectPr>
      <w:footerReference r:id="rId5" w:type="default"/>
      <w:pgSz w:w="11906" w:h="16838"/>
      <w:pgMar w:top="2098" w:right="1474" w:bottom="1984" w:left="1587" w:header="851" w:footer="158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666883-2A52-469C-823A-26138123DC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1CA5EA75-A4AD-4CC5-A7C9-74373CCB836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B8195CEA-50BA-4CCF-A101-F1B20FD5E555}"/>
  </w:font>
  <w:font w:name="楷体">
    <w:panose1 w:val="02010609060101010101"/>
    <w:charset w:val="86"/>
    <w:family w:val="auto"/>
    <w:pitch w:val="default"/>
    <w:sig w:usb0="800002BF" w:usb1="38CF7CFA" w:usb2="00000016" w:usb3="00000000" w:csb0="00040001" w:csb1="00000000"/>
    <w:embedRegular r:id="rId4" w:fontKey="{3712A51D-B32F-414C-B4D3-B69A62A8F95B}"/>
  </w:font>
  <w:font w:name="方正小标宋简体">
    <w:panose1 w:val="02000000000000000000"/>
    <w:charset w:val="86"/>
    <w:family w:val="auto"/>
    <w:pitch w:val="default"/>
    <w:sig w:usb0="00000001" w:usb1="080E0000" w:usb2="00000000" w:usb3="00000000" w:csb0="00040000" w:csb1="00000000"/>
    <w:embedRegular r:id="rId5" w:fontKey="{37298A71-879A-45DC-96E1-A3789AB6D6C7}"/>
  </w:font>
  <w:font w:name="仿宋_GB2312">
    <w:panose1 w:val="02010609030101010101"/>
    <w:charset w:val="86"/>
    <w:family w:val="modern"/>
    <w:pitch w:val="default"/>
    <w:sig w:usb0="00000001" w:usb1="080E0000" w:usb2="00000000" w:usb3="00000000" w:csb0="00040000" w:csb1="00000000"/>
    <w:embedRegular r:id="rId6" w:fontKey="{524AFD0B-9B4C-4C0A-AB7C-A571D3E3A9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F96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01FB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874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A251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8A251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YTU2ZWNhZTYwMzhlMTc5OWMxMTQ0OWE3MGQwZDIifQ=="/>
  </w:docVars>
  <w:rsids>
    <w:rsidRoot w:val="35B71A2E"/>
    <w:rsid w:val="00176349"/>
    <w:rsid w:val="00291A72"/>
    <w:rsid w:val="002A1D0E"/>
    <w:rsid w:val="002D6EA9"/>
    <w:rsid w:val="00473507"/>
    <w:rsid w:val="004C6249"/>
    <w:rsid w:val="00522102"/>
    <w:rsid w:val="005319D6"/>
    <w:rsid w:val="007756C4"/>
    <w:rsid w:val="00883966"/>
    <w:rsid w:val="008C6C96"/>
    <w:rsid w:val="00950E2D"/>
    <w:rsid w:val="00A010BF"/>
    <w:rsid w:val="00B11A45"/>
    <w:rsid w:val="00BE7797"/>
    <w:rsid w:val="00C25847"/>
    <w:rsid w:val="00E13834"/>
    <w:rsid w:val="00EB60B2"/>
    <w:rsid w:val="01154E21"/>
    <w:rsid w:val="01160F0D"/>
    <w:rsid w:val="01167F17"/>
    <w:rsid w:val="012317B6"/>
    <w:rsid w:val="0123584C"/>
    <w:rsid w:val="012E2169"/>
    <w:rsid w:val="014C494B"/>
    <w:rsid w:val="01517447"/>
    <w:rsid w:val="01541EA9"/>
    <w:rsid w:val="018502B5"/>
    <w:rsid w:val="018948ED"/>
    <w:rsid w:val="019422A6"/>
    <w:rsid w:val="019446C2"/>
    <w:rsid w:val="01944D98"/>
    <w:rsid w:val="019E159C"/>
    <w:rsid w:val="01C32A07"/>
    <w:rsid w:val="01C54B55"/>
    <w:rsid w:val="01C901A1"/>
    <w:rsid w:val="01CB1742"/>
    <w:rsid w:val="01CC2D99"/>
    <w:rsid w:val="01E27354"/>
    <w:rsid w:val="01EC5C3E"/>
    <w:rsid w:val="01EE7C08"/>
    <w:rsid w:val="024259E1"/>
    <w:rsid w:val="02900CBF"/>
    <w:rsid w:val="02936A01"/>
    <w:rsid w:val="02A42620"/>
    <w:rsid w:val="02B56978"/>
    <w:rsid w:val="02BA3355"/>
    <w:rsid w:val="02C10646"/>
    <w:rsid w:val="02CD1F13"/>
    <w:rsid w:val="02CF1B64"/>
    <w:rsid w:val="03046AA7"/>
    <w:rsid w:val="03280EF8"/>
    <w:rsid w:val="039E4AF0"/>
    <w:rsid w:val="03BF2F16"/>
    <w:rsid w:val="03C22906"/>
    <w:rsid w:val="03D42DED"/>
    <w:rsid w:val="03E05C76"/>
    <w:rsid w:val="03EA08A3"/>
    <w:rsid w:val="03EB1D0A"/>
    <w:rsid w:val="04142354"/>
    <w:rsid w:val="04154A83"/>
    <w:rsid w:val="042F62B6"/>
    <w:rsid w:val="04461021"/>
    <w:rsid w:val="04567CE7"/>
    <w:rsid w:val="045D3C98"/>
    <w:rsid w:val="046249E2"/>
    <w:rsid w:val="049A5E25"/>
    <w:rsid w:val="04B85787"/>
    <w:rsid w:val="04C07801"/>
    <w:rsid w:val="04DA0E71"/>
    <w:rsid w:val="04DC4690"/>
    <w:rsid w:val="04E84DE3"/>
    <w:rsid w:val="050035B2"/>
    <w:rsid w:val="05545D21"/>
    <w:rsid w:val="05685DCD"/>
    <w:rsid w:val="05704DD8"/>
    <w:rsid w:val="05786A20"/>
    <w:rsid w:val="058D5FC7"/>
    <w:rsid w:val="05B747B5"/>
    <w:rsid w:val="05BB1EF6"/>
    <w:rsid w:val="05BE78F1"/>
    <w:rsid w:val="060379FA"/>
    <w:rsid w:val="060914B4"/>
    <w:rsid w:val="06186C88"/>
    <w:rsid w:val="061C518A"/>
    <w:rsid w:val="06213B55"/>
    <w:rsid w:val="06222576"/>
    <w:rsid w:val="06345865"/>
    <w:rsid w:val="063B7F25"/>
    <w:rsid w:val="066B6673"/>
    <w:rsid w:val="067F0936"/>
    <w:rsid w:val="06862B05"/>
    <w:rsid w:val="06977A52"/>
    <w:rsid w:val="069B35AE"/>
    <w:rsid w:val="06B07B82"/>
    <w:rsid w:val="06B807E5"/>
    <w:rsid w:val="06C47DA6"/>
    <w:rsid w:val="06CF76C1"/>
    <w:rsid w:val="06D75381"/>
    <w:rsid w:val="06DF5963"/>
    <w:rsid w:val="06EC4553"/>
    <w:rsid w:val="06F7609D"/>
    <w:rsid w:val="070457D8"/>
    <w:rsid w:val="0717538B"/>
    <w:rsid w:val="072F3A0F"/>
    <w:rsid w:val="073042F4"/>
    <w:rsid w:val="07414C7E"/>
    <w:rsid w:val="07550729"/>
    <w:rsid w:val="076873CC"/>
    <w:rsid w:val="07726BE5"/>
    <w:rsid w:val="077360E4"/>
    <w:rsid w:val="078801B7"/>
    <w:rsid w:val="07AA4B5A"/>
    <w:rsid w:val="07AD1A8D"/>
    <w:rsid w:val="07B436A2"/>
    <w:rsid w:val="07BB17AA"/>
    <w:rsid w:val="07BD16BA"/>
    <w:rsid w:val="07CC69C7"/>
    <w:rsid w:val="07D01B5E"/>
    <w:rsid w:val="07E5385B"/>
    <w:rsid w:val="07E67FE6"/>
    <w:rsid w:val="07F341CA"/>
    <w:rsid w:val="07F97307"/>
    <w:rsid w:val="08074BF6"/>
    <w:rsid w:val="080D4B60"/>
    <w:rsid w:val="082D6660"/>
    <w:rsid w:val="084C7436"/>
    <w:rsid w:val="08566A7B"/>
    <w:rsid w:val="08607386"/>
    <w:rsid w:val="08626C5A"/>
    <w:rsid w:val="08740015"/>
    <w:rsid w:val="087C528E"/>
    <w:rsid w:val="08B25499"/>
    <w:rsid w:val="08B75D3B"/>
    <w:rsid w:val="08D465B8"/>
    <w:rsid w:val="08D70C12"/>
    <w:rsid w:val="08FB35FE"/>
    <w:rsid w:val="08FD6362"/>
    <w:rsid w:val="093653BA"/>
    <w:rsid w:val="09414AC1"/>
    <w:rsid w:val="09526CCE"/>
    <w:rsid w:val="096C1A6C"/>
    <w:rsid w:val="09B07E99"/>
    <w:rsid w:val="09B219BE"/>
    <w:rsid w:val="09C0632E"/>
    <w:rsid w:val="09D14312"/>
    <w:rsid w:val="09DF09FE"/>
    <w:rsid w:val="09DF68E3"/>
    <w:rsid w:val="09E35B78"/>
    <w:rsid w:val="09EB0ED1"/>
    <w:rsid w:val="09F60EB3"/>
    <w:rsid w:val="09FC4E8C"/>
    <w:rsid w:val="0A15758B"/>
    <w:rsid w:val="0A2148F3"/>
    <w:rsid w:val="0A2D14EA"/>
    <w:rsid w:val="0A5371A2"/>
    <w:rsid w:val="0A6C2012"/>
    <w:rsid w:val="0A8D3D36"/>
    <w:rsid w:val="0A982D58"/>
    <w:rsid w:val="0AB3379D"/>
    <w:rsid w:val="0ABA0FCF"/>
    <w:rsid w:val="0AC52FAF"/>
    <w:rsid w:val="0ADB2F12"/>
    <w:rsid w:val="0AE83940"/>
    <w:rsid w:val="0AFA04EE"/>
    <w:rsid w:val="0B0E30C9"/>
    <w:rsid w:val="0B2B5A29"/>
    <w:rsid w:val="0B5C1326"/>
    <w:rsid w:val="0B696551"/>
    <w:rsid w:val="0B93537C"/>
    <w:rsid w:val="0B955598"/>
    <w:rsid w:val="0BAF62FB"/>
    <w:rsid w:val="0BDC5772"/>
    <w:rsid w:val="0BE300B2"/>
    <w:rsid w:val="0BE45BD8"/>
    <w:rsid w:val="0BF6492B"/>
    <w:rsid w:val="0C0544CC"/>
    <w:rsid w:val="0C2A11F5"/>
    <w:rsid w:val="0C3B6140"/>
    <w:rsid w:val="0C4125C6"/>
    <w:rsid w:val="0C430B50"/>
    <w:rsid w:val="0C4A1EDF"/>
    <w:rsid w:val="0C5114BF"/>
    <w:rsid w:val="0C7711D8"/>
    <w:rsid w:val="0CBB68AE"/>
    <w:rsid w:val="0CBD3ED2"/>
    <w:rsid w:val="0CC87775"/>
    <w:rsid w:val="0CEC7480"/>
    <w:rsid w:val="0CED3D20"/>
    <w:rsid w:val="0D077DD0"/>
    <w:rsid w:val="0D0C3638"/>
    <w:rsid w:val="0D0E4978"/>
    <w:rsid w:val="0D144DED"/>
    <w:rsid w:val="0D1B63D5"/>
    <w:rsid w:val="0D1C7D1F"/>
    <w:rsid w:val="0D1D1CDB"/>
    <w:rsid w:val="0D2A1C25"/>
    <w:rsid w:val="0D324D56"/>
    <w:rsid w:val="0D4234FE"/>
    <w:rsid w:val="0D6C3C50"/>
    <w:rsid w:val="0D735465"/>
    <w:rsid w:val="0D95362E"/>
    <w:rsid w:val="0DA7223A"/>
    <w:rsid w:val="0DBE0DD6"/>
    <w:rsid w:val="0DDD62BF"/>
    <w:rsid w:val="0DE018AD"/>
    <w:rsid w:val="0DF02DAD"/>
    <w:rsid w:val="0E2B206D"/>
    <w:rsid w:val="0E2D1AB8"/>
    <w:rsid w:val="0E5B26D2"/>
    <w:rsid w:val="0E752A0F"/>
    <w:rsid w:val="0E871456"/>
    <w:rsid w:val="0E8B67DF"/>
    <w:rsid w:val="0E8C6D58"/>
    <w:rsid w:val="0E9E794E"/>
    <w:rsid w:val="0EBB47F8"/>
    <w:rsid w:val="0ED84277"/>
    <w:rsid w:val="0EF32D57"/>
    <w:rsid w:val="0F2E3D3A"/>
    <w:rsid w:val="0F3D3F7D"/>
    <w:rsid w:val="0F5B601C"/>
    <w:rsid w:val="0F723FAA"/>
    <w:rsid w:val="0F8751F8"/>
    <w:rsid w:val="0F96368D"/>
    <w:rsid w:val="0FAD44A4"/>
    <w:rsid w:val="0FB35FED"/>
    <w:rsid w:val="0FE443F8"/>
    <w:rsid w:val="0FFC5BE6"/>
    <w:rsid w:val="101F2085"/>
    <w:rsid w:val="104279AF"/>
    <w:rsid w:val="1055127B"/>
    <w:rsid w:val="107A4091"/>
    <w:rsid w:val="107E2A9F"/>
    <w:rsid w:val="108178C3"/>
    <w:rsid w:val="1084576B"/>
    <w:rsid w:val="10881228"/>
    <w:rsid w:val="1097590F"/>
    <w:rsid w:val="10AC13BA"/>
    <w:rsid w:val="10AD0C8E"/>
    <w:rsid w:val="10BB33AB"/>
    <w:rsid w:val="10BC7BD4"/>
    <w:rsid w:val="10BF3264"/>
    <w:rsid w:val="10C324E1"/>
    <w:rsid w:val="10CE2B6D"/>
    <w:rsid w:val="10EA0134"/>
    <w:rsid w:val="10EA1EE2"/>
    <w:rsid w:val="10F20D97"/>
    <w:rsid w:val="10F77F5E"/>
    <w:rsid w:val="10FE6461"/>
    <w:rsid w:val="110A4333"/>
    <w:rsid w:val="112B0DC3"/>
    <w:rsid w:val="113255BB"/>
    <w:rsid w:val="11513D10"/>
    <w:rsid w:val="11755507"/>
    <w:rsid w:val="1193257A"/>
    <w:rsid w:val="11A958FA"/>
    <w:rsid w:val="11B4198D"/>
    <w:rsid w:val="11DC5CCF"/>
    <w:rsid w:val="12137217"/>
    <w:rsid w:val="121F7865"/>
    <w:rsid w:val="12254C85"/>
    <w:rsid w:val="12374CB3"/>
    <w:rsid w:val="123D6042"/>
    <w:rsid w:val="125965C1"/>
    <w:rsid w:val="1266712B"/>
    <w:rsid w:val="127A1044"/>
    <w:rsid w:val="12850115"/>
    <w:rsid w:val="128D3781"/>
    <w:rsid w:val="129A3494"/>
    <w:rsid w:val="12A0353B"/>
    <w:rsid w:val="12A83E03"/>
    <w:rsid w:val="12B207DE"/>
    <w:rsid w:val="12D40754"/>
    <w:rsid w:val="12D746E8"/>
    <w:rsid w:val="12DB01EF"/>
    <w:rsid w:val="12FA225A"/>
    <w:rsid w:val="130B144A"/>
    <w:rsid w:val="131E2317"/>
    <w:rsid w:val="13286CF2"/>
    <w:rsid w:val="132C5202"/>
    <w:rsid w:val="132D4308"/>
    <w:rsid w:val="133631BD"/>
    <w:rsid w:val="133F5679"/>
    <w:rsid w:val="13912AE9"/>
    <w:rsid w:val="139433C6"/>
    <w:rsid w:val="139B3968"/>
    <w:rsid w:val="13C20EF5"/>
    <w:rsid w:val="13D67601"/>
    <w:rsid w:val="13E96481"/>
    <w:rsid w:val="13F13588"/>
    <w:rsid w:val="14027543"/>
    <w:rsid w:val="140E57F5"/>
    <w:rsid w:val="141220A6"/>
    <w:rsid w:val="141C0605"/>
    <w:rsid w:val="1420257C"/>
    <w:rsid w:val="14304EC9"/>
    <w:rsid w:val="14353475"/>
    <w:rsid w:val="144634A1"/>
    <w:rsid w:val="14661880"/>
    <w:rsid w:val="14812B5E"/>
    <w:rsid w:val="1495581A"/>
    <w:rsid w:val="149D5116"/>
    <w:rsid w:val="14A57A33"/>
    <w:rsid w:val="14B800A1"/>
    <w:rsid w:val="14CF5677"/>
    <w:rsid w:val="14E53B8B"/>
    <w:rsid w:val="15145780"/>
    <w:rsid w:val="151B5334"/>
    <w:rsid w:val="1542409B"/>
    <w:rsid w:val="1548367B"/>
    <w:rsid w:val="155F6B7B"/>
    <w:rsid w:val="15762316"/>
    <w:rsid w:val="15836462"/>
    <w:rsid w:val="158F03A1"/>
    <w:rsid w:val="15966195"/>
    <w:rsid w:val="159D799B"/>
    <w:rsid w:val="15BE02B0"/>
    <w:rsid w:val="15C03212"/>
    <w:rsid w:val="15DA4676"/>
    <w:rsid w:val="15EC4007"/>
    <w:rsid w:val="15F1161D"/>
    <w:rsid w:val="15F72D2D"/>
    <w:rsid w:val="160F7827"/>
    <w:rsid w:val="16111CE9"/>
    <w:rsid w:val="162E0AC3"/>
    <w:rsid w:val="162E2871"/>
    <w:rsid w:val="163F3643"/>
    <w:rsid w:val="16445BF1"/>
    <w:rsid w:val="164A4ED2"/>
    <w:rsid w:val="165414A2"/>
    <w:rsid w:val="16571DC8"/>
    <w:rsid w:val="165D4F05"/>
    <w:rsid w:val="16651CBB"/>
    <w:rsid w:val="1675334D"/>
    <w:rsid w:val="168406E3"/>
    <w:rsid w:val="16892446"/>
    <w:rsid w:val="16944DCE"/>
    <w:rsid w:val="16A155C2"/>
    <w:rsid w:val="16CA6BE3"/>
    <w:rsid w:val="16CB00C0"/>
    <w:rsid w:val="16ED6288"/>
    <w:rsid w:val="16F533E6"/>
    <w:rsid w:val="17035AAC"/>
    <w:rsid w:val="1705345A"/>
    <w:rsid w:val="170D06D9"/>
    <w:rsid w:val="17190E2C"/>
    <w:rsid w:val="173025A7"/>
    <w:rsid w:val="17377BF4"/>
    <w:rsid w:val="173C6640"/>
    <w:rsid w:val="175B6FA4"/>
    <w:rsid w:val="17642FC3"/>
    <w:rsid w:val="17752DAB"/>
    <w:rsid w:val="17823384"/>
    <w:rsid w:val="17864105"/>
    <w:rsid w:val="179127D1"/>
    <w:rsid w:val="17AC6144"/>
    <w:rsid w:val="17C3523B"/>
    <w:rsid w:val="17DA4A5F"/>
    <w:rsid w:val="17F16762"/>
    <w:rsid w:val="182A7068"/>
    <w:rsid w:val="183D61C4"/>
    <w:rsid w:val="184243B2"/>
    <w:rsid w:val="185011E3"/>
    <w:rsid w:val="186A60B7"/>
    <w:rsid w:val="18822A00"/>
    <w:rsid w:val="18846779"/>
    <w:rsid w:val="18992D98"/>
    <w:rsid w:val="189A41EE"/>
    <w:rsid w:val="18B0640A"/>
    <w:rsid w:val="18C10D7D"/>
    <w:rsid w:val="18C151EB"/>
    <w:rsid w:val="18E5190D"/>
    <w:rsid w:val="18E840BD"/>
    <w:rsid w:val="18F7519C"/>
    <w:rsid w:val="19466124"/>
    <w:rsid w:val="194D07A6"/>
    <w:rsid w:val="194F64BF"/>
    <w:rsid w:val="19560639"/>
    <w:rsid w:val="19575C3B"/>
    <w:rsid w:val="195D72F9"/>
    <w:rsid w:val="19742C91"/>
    <w:rsid w:val="19855E4D"/>
    <w:rsid w:val="19923117"/>
    <w:rsid w:val="199450E1"/>
    <w:rsid w:val="19A370D2"/>
    <w:rsid w:val="19E75211"/>
    <w:rsid w:val="19FA13E8"/>
    <w:rsid w:val="19FF223E"/>
    <w:rsid w:val="1A165AF6"/>
    <w:rsid w:val="1A223016"/>
    <w:rsid w:val="1A293F06"/>
    <w:rsid w:val="1A2F1202"/>
    <w:rsid w:val="1A3B41EE"/>
    <w:rsid w:val="1A4A1518"/>
    <w:rsid w:val="1A5C1A9C"/>
    <w:rsid w:val="1A642D06"/>
    <w:rsid w:val="1A7309F2"/>
    <w:rsid w:val="1A9B7B8E"/>
    <w:rsid w:val="1AB53561"/>
    <w:rsid w:val="1AE13C5B"/>
    <w:rsid w:val="1AE55BAA"/>
    <w:rsid w:val="1AF8647C"/>
    <w:rsid w:val="1B0E04A2"/>
    <w:rsid w:val="1B1042E5"/>
    <w:rsid w:val="1B23016B"/>
    <w:rsid w:val="1B606286"/>
    <w:rsid w:val="1B7D3D5D"/>
    <w:rsid w:val="1B99078D"/>
    <w:rsid w:val="1BC11A92"/>
    <w:rsid w:val="1BC755CA"/>
    <w:rsid w:val="1BE37C5A"/>
    <w:rsid w:val="1BE676D6"/>
    <w:rsid w:val="1BF57AF7"/>
    <w:rsid w:val="1C142509"/>
    <w:rsid w:val="1C19367C"/>
    <w:rsid w:val="1C1C24C7"/>
    <w:rsid w:val="1C3B46DF"/>
    <w:rsid w:val="1C4F3541"/>
    <w:rsid w:val="1C6B037B"/>
    <w:rsid w:val="1C8036FB"/>
    <w:rsid w:val="1C86086D"/>
    <w:rsid w:val="1CA30932"/>
    <w:rsid w:val="1CBA7A95"/>
    <w:rsid w:val="1CCA3F5F"/>
    <w:rsid w:val="1CD61615"/>
    <w:rsid w:val="1CEF22B0"/>
    <w:rsid w:val="1D005A32"/>
    <w:rsid w:val="1D1C186C"/>
    <w:rsid w:val="1D6B6159"/>
    <w:rsid w:val="1D6D1ED1"/>
    <w:rsid w:val="1D711D0A"/>
    <w:rsid w:val="1D7207B8"/>
    <w:rsid w:val="1D903CDA"/>
    <w:rsid w:val="1DAC6FE2"/>
    <w:rsid w:val="1DE37E6B"/>
    <w:rsid w:val="1DEE051D"/>
    <w:rsid w:val="1DF05690"/>
    <w:rsid w:val="1DF443A0"/>
    <w:rsid w:val="1E012619"/>
    <w:rsid w:val="1E0E41AD"/>
    <w:rsid w:val="1E164317"/>
    <w:rsid w:val="1E274C50"/>
    <w:rsid w:val="1E285DF8"/>
    <w:rsid w:val="1E3C405D"/>
    <w:rsid w:val="1E4F7829"/>
    <w:rsid w:val="1E5B7F7C"/>
    <w:rsid w:val="1E5C2FE4"/>
    <w:rsid w:val="1E676920"/>
    <w:rsid w:val="1E75793A"/>
    <w:rsid w:val="1E7F595E"/>
    <w:rsid w:val="1E807E06"/>
    <w:rsid w:val="1E8825F2"/>
    <w:rsid w:val="1E946591"/>
    <w:rsid w:val="1EAD63EE"/>
    <w:rsid w:val="1EC024D4"/>
    <w:rsid w:val="1ECE4BF1"/>
    <w:rsid w:val="1F2B5BA0"/>
    <w:rsid w:val="1F5C04BB"/>
    <w:rsid w:val="1F6839D6"/>
    <w:rsid w:val="1F890B18"/>
    <w:rsid w:val="1F901EA7"/>
    <w:rsid w:val="1F9B1E89"/>
    <w:rsid w:val="1FA60C50"/>
    <w:rsid w:val="1FAE3443"/>
    <w:rsid w:val="1FE521F3"/>
    <w:rsid w:val="1FEA10D8"/>
    <w:rsid w:val="1FF023CE"/>
    <w:rsid w:val="202F7912"/>
    <w:rsid w:val="20370A8F"/>
    <w:rsid w:val="203A349A"/>
    <w:rsid w:val="204247FD"/>
    <w:rsid w:val="20510722"/>
    <w:rsid w:val="205D622D"/>
    <w:rsid w:val="20713A86"/>
    <w:rsid w:val="208648E7"/>
    <w:rsid w:val="208660E4"/>
    <w:rsid w:val="20922341"/>
    <w:rsid w:val="20A225C8"/>
    <w:rsid w:val="20CD19D0"/>
    <w:rsid w:val="20E22BD6"/>
    <w:rsid w:val="20E701EC"/>
    <w:rsid w:val="20F543CB"/>
    <w:rsid w:val="210C6EDA"/>
    <w:rsid w:val="210E7527"/>
    <w:rsid w:val="21224D81"/>
    <w:rsid w:val="212B00D9"/>
    <w:rsid w:val="213D1BBA"/>
    <w:rsid w:val="218E20AB"/>
    <w:rsid w:val="21943034"/>
    <w:rsid w:val="21C1459A"/>
    <w:rsid w:val="21C816F3"/>
    <w:rsid w:val="21D06ED2"/>
    <w:rsid w:val="21D40771"/>
    <w:rsid w:val="21DA1AFF"/>
    <w:rsid w:val="21F2151B"/>
    <w:rsid w:val="220D2602"/>
    <w:rsid w:val="226256A5"/>
    <w:rsid w:val="22635651"/>
    <w:rsid w:val="2268336E"/>
    <w:rsid w:val="226F2B9F"/>
    <w:rsid w:val="22A216C7"/>
    <w:rsid w:val="22C00CF5"/>
    <w:rsid w:val="22CA040A"/>
    <w:rsid w:val="22CB0DF4"/>
    <w:rsid w:val="22E5007A"/>
    <w:rsid w:val="22EC5646"/>
    <w:rsid w:val="230E380E"/>
    <w:rsid w:val="23141C9D"/>
    <w:rsid w:val="23270D74"/>
    <w:rsid w:val="23411E36"/>
    <w:rsid w:val="234C4337"/>
    <w:rsid w:val="234F6FF2"/>
    <w:rsid w:val="23661E55"/>
    <w:rsid w:val="23775858"/>
    <w:rsid w:val="238E494F"/>
    <w:rsid w:val="23922691"/>
    <w:rsid w:val="23BF0376"/>
    <w:rsid w:val="23BF0FAD"/>
    <w:rsid w:val="23FC5D5D"/>
    <w:rsid w:val="23FD76AD"/>
    <w:rsid w:val="240D1980"/>
    <w:rsid w:val="241C1F5B"/>
    <w:rsid w:val="2422439F"/>
    <w:rsid w:val="24322753"/>
    <w:rsid w:val="24422E85"/>
    <w:rsid w:val="247C08BF"/>
    <w:rsid w:val="247D50F0"/>
    <w:rsid w:val="2480073C"/>
    <w:rsid w:val="24BC607C"/>
    <w:rsid w:val="24C22E06"/>
    <w:rsid w:val="24C31A3C"/>
    <w:rsid w:val="24C745BD"/>
    <w:rsid w:val="24CA7F49"/>
    <w:rsid w:val="24D82326"/>
    <w:rsid w:val="24DE1906"/>
    <w:rsid w:val="24E56DB5"/>
    <w:rsid w:val="24EF7670"/>
    <w:rsid w:val="24F15196"/>
    <w:rsid w:val="24F353B2"/>
    <w:rsid w:val="24FA2088"/>
    <w:rsid w:val="25026FCD"/>
    <w:rsid w:val="250637EA"/>
    <w:rsid w:val="251D6C08"/>
    <w:rsid w:val="253B28B5"/>
    <w:rsid w:val="25650EAD"/>
    <w:rsid w:val="256B319A"/>
    <w:rsid w:val="25802980"/>
    <w:rsid w:val="25895FB3"/>
    <w:rsid w:val="25A82D45"/>
    <w:rsid w:val="25AD43EA"/>
    <w:rsid w:val="25B52012"/>
    <w:rsid w:val="25CD7992"/>
    <w:rsid w:val="25EB42DB"/>
    <w:rsid w:val="25F3213E"/>
    <w:rsid w:val="2605182C"/>
    <w:rsid w:val="260C276B"/>
    <w:rsid w:val="261A696E"/>
    <w:rsid w:val="26272215"/>
    <w:rsid w:val="26343C96"/>
    <w:rsid w:val="26347A30"/>
    <w:rsid w:val="26491217"/>
    <w:rsid w:val="26515791"/>
    <w:rsid w:val="266C3639"/>
    <w:rsid w:val="26793695"/>
    <w:rsid w:val="269907FE"/>
    <w:rsid w:val="26BC17D3"/>
    <w:rsid w:val="26E74AA2"/>
    <w:rsid w:val="26E839F6"/>
    <w:rsid w:val="26EB1705"/>
    <w:rsid w:val="27067805"/>
    <w:rsid w:val="27455C6D"/>
    <w:rsid w:val="27577BBF"/>
    <w:rsid w:val="275E288B"/>
    <w:rsid w:val="275E5AA7"/>
    <w:rsid w:val="27701E4D"/>
    <w:rsid w:val="2775116C"/>
    <w:rsid w:val="27CE17BE"/>
    <w:rsid w:val="27D35027"/>
    <w:rsid w:val="27F154AD"/>
    <w:rsid w:val="28123DA1"/>
    <w:rsid w:val="2829733C"/>
    <w:rsid w:val="282C4737"/>
    <w:rsid w:val="2835183D"/>
    <w:rsid w:val="28941B6B"/>
    <w:rsid w:val="289A494D"/>
    <w:rsid w:val="28A6182B"/>
    <w:rsid w:val="28A75D1D"/>
    <w:rsid w:val="28C433F0"/>
    <w:rsid w:val="28CB21A2"/>
    <w:rsid w:val="28D177B8"/>
    <w:rsid w:val="28D672AA"/>
    <w:rsid w:val="28D73389"/>
    <w:rsid w:val="28DE1ED5"/>
    <w:rsid w:val="28EB309B"/>
    <w:rsid w:val="293461B3"/>
    <w:rsid w:val="2947021C"/>
    <w:rsid w:val="29600826"/>
    <w:rsid w:val="29891E41"/>
    <w:rsid w:val="298D48A8"/>
    <w:rsid w:val="29A95C2E"/>
    <w:rsid w:val="29AD5164"/>
    <w:rsid w:val="29BA46F0"/>
    <w:rsid w:val="29CD2BCE"/>
    <w:rsid w:val="29D5243B"/>
    <w:rsid w:val="29DD03DE"/>
    <w:rsid w:val="29E928DF"/>
    <w:rsid w:val="2A070584"/>
    <w:rsid w:val="2A121930"/>
    <w:rsid w:val="2A21776B"/>
    <w:rsid w:val="2A3A138D"/>
    <w:rsid w:val="2A636C4A"/>
    <w:rsid w:val="2A9C3DF6"/>
    <w:rsid w:val="2AA82768"/>
    <w:rsid w:val="2AD816C9"/>
    <w:rsid w:val="2ADE434B"/>
    <w:rsid w:val="2B0E1B54"/>
    <w:rsid w:val="2B0E7FE5"/>
    <w:rsid w:val="2B110340"/>
    <w:rsid w:val="2B1C36F6"/>
    <w:rsid w:val="2B4A1AA4"/>
    <w:rsid w:val="2B4D039D"/>
    <w:rsid w:val="2B56084C"/>
    <w:rsid w:val="2B5A6013"/>
    <w:rsid w:val="2B6A3EF4"/>
    <w:rsid w:val="2B6A7A50"/>
    <w:rsid w:val="2B745980"/>
    <w:rsid w:val="2B7A1D63"/>
    <w:rsid w:val="2B8979CB"/>
    <w:rsid w:val="2B9E76FA"/>
    <w:rsid w:val="2BA2543C"/>
    <w:rsid w:val="2BA411B4"/>
    <w:rsid w:val="2BA57D3C"/>
    <w:rsid w:val="2BAE1609"/>
    <w:rsid w:val="2BB1567F"/>
    <w:rsid w:val="2BB67139"/>
    <w:rsid w:val="2BB84C5F"/>
    <w:rsid w:val="2BC62D3E"/>
    <w:rsid w:val="2BCC070B"/>
    <w:rsid w:val="2BD3004D"/>
    <w:rsid w:val="2BDA4BD6"/>
    <w:rsid w:val="2BDB6BA0"/>
    <w:rsid w:val="2BEA0B91"/>
    <w:rsid w:val="2BF63E39"/>
    <w:rsid w:val="2C071743"/>
    <w:rsid w:val="2C1339D0"/>
    <w:rsid w:val="2C153E60"/>
    <w:rsid w:val="2C324A12"/>
    <w:rsid w:val="2C332538"/>
    <w:rsid w:val="2C3A5674"/>
    <w:rsid w:val="2C6A4EB0"/>
    <w:rsid w:val="2C862667"/>
    <w:rsid w:val="2C8E3426"/>
    <w:rsid w:val="2CA86A82"/>
    <w:rsid w:val="2CAF0F55"/>
    <w:rsid w:val="2CD23AFF"/>
    <w:rsid w:val="2CD44DBC"/>
    <w:rsid w:val="2CDF1769"/>
    <w:rsid w:val="2CE576AE"/>
    <w:rsid w:val="2D217944"/>
    <w:rsid w:val="2D78340C"/>
    <w:rsid w:val="2D881C16"/>
    <w:rsid w:val="2D94788D"/>
    <w:rsid w:val="2DB6382A"/>
    <w:rsid w:val="2DB94CBF"/>
    <w:rsid w:val="2DCA6ECC"/>
    <w:rsid w:val="2DDF56B6"/>
    <w:rsid w:val="2DE0049D"/>
    <w:rsid w:val="2DF857E7"/>
    <w:rsid w:val="2E057F04"/>
    <w:rsid w:val="2E1A2928"/>
    <w:rsid w:val="2E375473"/>
    <w:rsid w:val="2E5D389C"/>
    <w:rsid w:val="2E642E7C"/>
    <w:rsid w:val="2E6469D8"/>
    <w:rsid w:val="2E655860"/>
    <w:rsid w:val="2E7035CF"/>
    <w:rsid w:val="2E903C71"/>
    <w:rsid w:val="2E9A064C"/>
    <w:rsid w:val="2E9C2616"/>
    <w:rsid w:val="2EBD433B"/>
    <w:rsid w:val="2EC21951"/>
    <w:rsid w:val="2ECF380C"/>
    <w:rsid w:val="2ED022C0"/>
    <w:rsid w:val="2ED04C56"/>
    <w:rsid w:val="2ED602F6"/>
    <w:rsid w:val="2EE72D23"/>
    <w:rsid w:val="2F000DF7"/>
    <w:rsid w:val="2F120B2A"/>
    <w:rsid w:val="2F3E36CD"/>
    <w:rsid w:val="2F413B37"/>
    <w:rsid w:val="2F42067A"/>
    <w:rsid w:val="2F7215C9"/>
    <w:rsid w:val="2F786B12"/>
    <w:rsid w:val="2F8A446F"/>
    <w:rsid w:val="2FA554FB"/>
    <w:rsid w:val="2FAF45CB"/>
    <w:rsid w:val="2FBA24FA"/>
    <w:rsid w:val="2FF3079A"/>
    <w:rsid w:val="3006424D"/>
    <w:rsid w:val="3007380B"/>
    <w:rsid w:val="30204C54"/>
    <w:rsid w:val="30247DA3"/>
    <w:rsid w:val="303A3B69"/>
    <w:rsid w:val="303B19BB"/>
    <w:rsid w:val="30444D13"/>
    <w:rsid w:val="306A6683"/>
    <w:rsid w:val="306C7DC6"/>
    <w:rsid w:val="306F78B6"/>
    <w:rsid w:val="308C66BA"/>
    <w:rsid w:val="30A04ED4"/>
    <w:rsid w:val="30A21A3A"/>
    <w:rsid w:val="30BB2AFC"/>
    <w:rsid w:val="30BD1573"/>
    <w:rsid w:val="30C25BF4"/>
    <w:rsid w:val="30C950F9"/>
    <w:rsid w:val="30CC30A0"/>
    <w:rsid w:val="310821E5"/>
    <w:rsid w:val="311E5564"/>
    <w:rsid w:val="31332C67"/>
    <w:rsid w:val="313C6C0F"/>
    <w:rsid w:val="315C42DF"/>
    <w:rsid w:val="3163741B"/>
    <w:rsid w:val="31767C63"/>
    <w:rsid w:val="318F1FBE"/>
    <w:rsid w:val="31A6555A"/>
    <w:rsid w:val="31A951CB"/>
    <w:rsid w:val="31AF440F"/>
    <w:rsid w:val="31B639EF"/>
    <w:rsid w:val="31B64D35"/>
    <w:rsid w:val="31D24564"/>
    <w:rsid w:val="31DA009C"/>
    <w:rsid w:val="31DA6D96"/>
    <w:rsid w:val="31DC3104"/>
    <w:rsid w:val="31F2254D"/>
    <w:rsid w:val="322878A0"/>
    <w:rsid w:val="324059AE"/>
    <w:rsid w:val="324E3C27"/>
    <w:rsid w:val="3254170D"/>
    <w:rsid w:val="325E4A66"/>
    <w:rsid w:val="327A1C95"/>
    <w:rsid w:val="327A1EC5"/>
    <w:rsid w:val="32A25D21"/>
    <w:rsid w:val="32AC7E69"/>
    <w:rsid w:val="32C97752"/>
    <w:rsid w:val="32D700C1"/>
    <w:rsid w:val="32E64C78"/>
    <w:rsid w:val="32F961D8"/>
    <w:rsid w:val="331210F9"/>
    <w:rsid w:val="3316226B"/>
    <w:rsid w:val="331940DA"/>
    <w:rsid w:val="33260700"/>
    <w:rsid w:val="33324B81"/>
    <w:rsid w:val="334A79F6"/>
    <w:rsid w:val="33506034"/>
    <w:rsid w:val="3360255A"/>
    <w:rsid w:val="3361798A"/>
    <w:rsid w:val="33704071"/>
    <w:rsid w:val="338670E4"/>
    <w:rsid w:val="338850FE"/>
    <w:rsid w:val="33896C76"/>
    <w:rsid w:val="33DC34B5"/>
    <w:rsid w:val="33E12879"/>
    <w:rsid w:val="340348B6"/>
    <w:rsid w:val="34242A9E"/>
    <w:rsid w:val="34264730"/>
    <w:rsid w:val="342D0929"/>
    <w:rsid w:val="344E6D09"/>
    <w:rsid w:val="346516FC"/>
    <w:rsid w:val="347B543C"/>
    <w:rsid w:val="34957054"/>
    <w:rsid w:val="3496201B"/>
    <w:rsid w:val="34BB66AA"/>
    <w:rsid w:val="34CC52D7"/>
    <w:rsid w:val="34DC19C6"/>
    <w:rsid w:val="34EB57A0"/>
    <w:rsid w:val="34ED62D7"/>
    <w:rsid w:val="34FD68D3"/>
    <w:rsid w:val="352350EC"/>
    <w:rsid w:val="35310C1F"/>
    <w:rsid w:val="3542545C"/>
    <w:rsid w:val="354B32FF"/>
    <w:rsid w:val="35645510"/>
    <w:rsid w:val="35760FBE"/>
    <w:rsid w:val="357752E4"/>
    <w:rsid w:val="35812566"/>
    <w:rsid w:val="358C3CCC"/>
    <w:rsid w:val="359F0C3E"/>
    <w:rsid w:val="35AB313F"/>
    <w:rsid w:val="35B71A2E"/>
    <w:rsid w:val="35D02BA5"/>
    <w:rsid w:val="35E054DE"/>
    <w:rsid w:val="35E47DF3"/>
    <w:rsid w:val="361433DA"/>
    <w:rsid w:val="36146F36"/>
    <w:rsid w:val="36277950"/>
    <w:rsid w:val="362A3B9D"/>
    <w:rsid w:val="3671785E"/>
    <w:rsid w:val="367479D5"/>
    <w:rsid w:val="367C4ADB"/>
    <w:rsid w:val="36FD5C1C"/>
    <w:rsid w:val="3736276B"/>
    <w:rsid w:val="37736B42"/>
    <w:rsid w:val="377C4D93"/>
    <w:rsid w:val="377C77F1"/>
    <w:rsid w:val="379BB5CE"/>
    <w:rsid w:val="37A367C3"/>
    <w:rsid w:val="37CC485C"/>
    <w:rsid w:val="37CD3840"/>
    <w:rsid w:val="37D478C1"/>
    <w:rsid w:val="380A4A95"/>
    <w:rsid w:val="380A6843"/>
    <w:rsid w:val="382342BD"/>
    <w:rsid w:val="38262D12"/>
    <w:rsid w:val="382F7EB8"/>
    <w:rsid w:val="388436EE"/>
    <w:rsid w:val="38910A20"/>
    <w:rsid w:val="38AD0AA8"/>
    <w:rsid w:val="38B25B49"/>
    <w:rsid w:val="38B4055C"/>
    <w:rsid w:val="38B81E0D"/>
    <w:rsid w:val="38CD0F8C"/>
    <w:rsid w:val="38EA6674"/>
    <w:rsid w:val="38EE053E"/>
    <w:rsid w:val="390A4620"/>
    <w:rsid w:val="39252547"/>
    <w:rsid w:val="39397AB3"/>
    <w:rsid w:val="393A4F06"/>
    <w:rsid w:val="39473E07"/>
    <w:rsid w:val="39484BFE"/>
    <w:rsid w:val="395A7356"/>
    <w:rsid w:val="39614F62"/>
    <w:rsid w:val="39623434"/>
    <w:rsid w:val="396E792A"/>
    <w:rsid w:val="399F120C"/>
    <w:rsid w:val="39A16D33"/>
    <w:rsid w:val="39B90520"/>
    <w:rsid w:val="39DE552C"/>
    <w:rsid w:val="39E249FB"/>
    <w:rsid w:val="39E54BD5"/>
    <w:rsid w:val="3A256AC7"/>
    <w:rsid w:val="3A3233F9"/>
    <w:rsid w:val="3A904EB2"/>
    <w:rsid w:val="3AAD7959"/>
    <w:rsid w:val="3AC0768C"/>
    <w:rsid w:val="3ACF6BCA"/>
    <w:rsid w:val="3AD277CE"/>
    <w:rsid w:val="3AE74C76"/>
    <w:rsid w:val="3B07350D"/>
    <w:rsid w:val="3B1F0857"/>
    <w:rsid w:val="3B295232"/>
    <w:rsid w:val="3B337E5E"/>
    <w:rsid w:val="3B451940"/>
    <w:rsid w:val="3B4E2EEA"/>
    <w:rsid w:val="3B6C3901"/>
    <w:rsid w:val="3B8763FC"/>
    <w:rsid w:val="3B917585"/>
    <w:rsid w:val="3B9D5C20"/>
    <w:rsid w:val="3BAC367B"/>
    <w:rsid w:val="3BC1546A"/>
    <w:rsid w:val="3BDF1D94"/>
    <w:rsid w:val="3C10408D"/>
    <w:rsid w:val="3C1B0182"/>
    <w:rsid w:val="3C245C3D"/>
    <w:rsid w:val="3C69203E"/>
    <w:rsid w:val="3C700C3E"/>
    <w:rsid w:val="3C812E4B"/>
    <w:rsid w:val="3C8D0C3A"/>
    <w:rsid w:val="3C8F4A45"/>
    <w:rsid w:val="3C94492D"/>
    <w:rsid w:val="3C950F0C"/>
    <w:rsid w:val="3CB054DF"/>
    <w:rsid w:val="3CE3061B"/>
    <w:rsid w:val="3CE55ADD"/>
    <w:rsid w:val="3CFE5AE2"/>
    <w:rsid w:val="3D261598"/>
    <w:rsid w:val="3D2A5DFB"/>
    <w:rsid w:val="3D2B707F"/>
    <w:rsid w:val="3D42082D"/>
    <w:rsid w:val="3D715836"/>
    <w:rsid w:val="3D7F1816"/>
    <w:rsid w:val="3D8E3A72"/>
    <w:rsid w:val="3DC56D68"/>
    <w:rsid w:val="3DCC38B4"/>
    <w:rsid w:val="3DDF3F2D"/>
    <w:rsid w:val="3DF9077B"/>
    <w:rsid w:val="3E0042D0"/>
    <w:rsid w:val="3E060834"/>
    <w:rsid w:val="3E081DAF"/>
    <w:rsid w:val="3E09759C"/>
    <w:rsid w:val="3E11688B"/>
    <w:rsid w:val="3E1B504C"/>
    <w:rsid w:val="3E321A1C"/>
    <w:rsid w:val="3E35373D"/>
    <w:rsid w:val="3E6322D3"/>
    <w:rsid w:val="3E7E5894"/>
    <w:rsid w:val="3E8310FD"/>
    <w:rsid w:val="3E875C9D"/>
    <w:rsid w:val="3E8804C1"/>
    <w:rsid w:val="3EBE1AE1"/>
    <w:rsid w:val="3EE04787"/>
    <w:rsid w:val="3EEF6792"/>
    <w:rsid w:val="3EF913BF"/>
    <w:rsid w:val="3F010273"/>
    <w:rsid w:val="3F055FB6"/>
    <w:rsid w:val="3F1E0E25"/>
    <w:rsid w:val="3F6E2720"/>
    <w:rsid w:val="3F731171"/>
    <w:rsid w:val="3F8E1984"/>
    <w:rsid w:val="3F9673DB"/>
    <w:rsid w:val="3F9F5390"/>
    <w:rsid w:val="3FA532F5"/>
    <w:rsid w:val="3FB87052"/>
    <w:rsid w:val="3FEC3399"/>
    <w:rsid w:val="3FEE65EE"/>
    <w:rsid w:val="3FF95CE9"/>
    <w:rsid w:val="3FFC0724"/>
    <w:rsid w:val="4002645D"/>
    <w:rsid w:val="40066A0A"/>
    <w:rsid w:val="401D2E8B"/>
    <w:rsid w:val="40275AB8"/>
    <w:rsid w:val="40381A73"/>
    <w:rsid w:val="4040706B"/>
    <w:rsid w:val="404B3E2B"/>
    <w:rsid w:val="404C0D0E"/>
    <w:rsid w:val="40522E89"/>
    <w:rsid w:val="406D0527"/>
    <w:rsid w:val="40714814"/>
    <w:rsid w:val="40736F4F"/>
    <w:rsid w:val="40773E56"/>
    <w:rsid w:val="40846626"/>
    <w:rsid w:val="408829FA"/>
    <w:rsid w:val="408952F8"/>
    <w:rsid w:val="409273D5"/>
    <w:rsid w:val="40AF2A41"/>
    <w:rsid w:val="40B06575"/>
    <w:rsid w:val="40D175F5"/>
    <w:rsid w:val="40F3367B"/>
    <w:rsid w:val="4132239B"/>
    <w:rsid w:val="41393CF5"/>
    <w:rsid w:val="413E6EDF"/>
    <w:rsid w:val="414A5820"/>
    <w:rsid w:val="414A7CB0"/>
    <w:rsid w:val="41764F49"/>
    <w:rsid w:val="41765F5A"/>
    <w:rsid w:val="4182463C"/>
    <w:rsid w:val="41835EF7"/>
    <w:rsid w:val="41DC09B4"/>
    <w:rsid w:val="41DE664A"/>
    <w:rsid w:val="41EB5854"/>
    <w:rsid w:val="41ED5368"/>
    <w:rsid w:val="41FB71FC"/>
    <w:rsid w:val="41FD2F74"/>
    <w:rsid w:val="42065ECE"/>
    <w:rsid w:val="42365F67"/>
    <w:rsid w:val="42402890"/>
    <w:rsid w:val="42770F78"/>
    <w:rsid w:val="427D5E63"/>
    <w:rsid w:val="429733C9"/>
    <w:rsid w:val="42A17DA3"/>
    <w:rsid w:val="42AE426E"/>
    <w:rsid w:val="42E92C11"/>
    <w:rsid w:val="42EB358E"/>
    <w:rsid w:val="430062C7"/>
    <w:rsid w:val="4312259E"/>
    <w:rsid w:val="432F1853"/>
    <w:rsid w:val="434C6DAF"/>
    <w:rsid w:val="435A502F"/>
    <w:rsid w:val="436C5913"/>
    <w:rsid w:val="437E3CF8"/>
    <w:rsid w:val="4388027E"/>
    <w:rsid w:val="43BB4117"/>
    <w:rsid w:val="43BD6E5F"/>
    <w:rsid w:val="43CA32B5"/>
    <w:rsid w:val="43D4441D"/>
    <w:rsid w:val="43F32E89"/>
    <w:rsid w:val="44377922"/>
    <w:rsid w:val="443F5B81"/>
    <w:rsid w:val="444924A1"/>
    <w:rsid w:val="444D1FC9"/>
    <w:rsid w:val="44781446"/>
    <w:rsid w:val="447C2876"/>
    <w:rsid w:val="447D3CDD"/>
    <w:rsid w:val="44865F34"/>
    <w:rsid w:val="448E07FB"/>
    <w:rsid w:val="448E4357"/>
    <w:rsid w:val="44A27E03"/>
    <w:rsid w:val="44A40821"/>
    <w:rsid w:val="44AC2A30"/>
    <w:rsid w:val="44C50573"/>
    <w:rsid w:val="44EA0053"/>
    <w:rsid w:val="4519103D"/>
    <w:rsid w:val="452138F7"/>
    <w:rsid w:val="45246A6A"/>
    <w:rsid w:val="456926CF"/>
    <w:rsid w:val="45A715D5"/>
    <w:rsid w:val="45AB46C9"/>
    <w:rsid w:val="45AD2F03"/>
    <w:rsid w:val="45B608B1"/>
    <w:rsid w:val="45D71D2E"/>
    <w:rsid w:val="45D97B3A"/>
    <w:rsid w:val="45DA3244"/>
    <w:rsid w:val="46101C61"/>
    <w:rsid w:val="46114972"/>
    <w:rsid w:val="461831F5"/>
    <w:rsid w:val="46184820"/>
    <w:rsid w:val="461D1E37"/>
    <w:rsid w:val="46281CD8"/>
    <w:rsid w:val="463B13F8"/>
    <w:rsid w:val="46527FC7"/>
    <w:rsid w:val="465316F4"/>
    <w:rsid w:val="46592743"/>
    <w:rsid w:val="46625A9C"/>
    <w:rsid w:val="46644A35"/>
    <w:rsid w:val="468D7ECE"/>
    <w:rsid w:val="46994E1E"/>
    <w:rsid w:val="469F74EB"/>
    <w:rsid w:val="46AB7566"/>
    <w:rsid w:val="46B1257F"/>
    <w:rsid w:val="46C43F83"/>
    <w:rsid w:val="46C83209"/>
    <w:rsid w:val="46D03E42"/>
    <w:rsid w:val="46D22C21"/>
    <w:rsid w:val="46F32B98"/>
    <w:rsid w:val="46F34946"/>
    <w:rsid w:val="46F8008E"/>
    <w:rsid w:val="46FC1A4C"/>
    <w:rsid w:val="46FE3A16"/>
    <w:rsid w:val="47124BC1"/>
    <w:rsid w:val="471D1E59"/>
    <w:rsid w:val="47313195"/>
    <w:rsid w:val="473F5496"/>
    <w:rsid w:val="474358CD"/>
    <w:rsid w:val="4749351F"/>
    <w:rsid w:val="474A1327"/>
    <w:rsid w:val="4763450B"/>
    <w:rsid w:val="476A10AC"/>
    <w:rsid w:val="47756433"/>
    <w:rsid w:val="47797541"/>
    <w:rsid w:val="478E21B1"/>
    <w:rsid w:val="479223B1"/>
    <w:rsid w:val="47924425"/>
    <w:rsid w:val="47BF5095"/>
    <w:rsid w:val="47CA1B4A"/>
    <w:rsid w:val="47D46525"/>
    <w:rsid w:val="47E524E0"/>
    <w:rsid w:val="47EB206F"/>
    <w:rsid w:val="47FC5418"/>
    <w:rsid w:val="480273AD"/>
    <w:rsid w:val="48256D81"/>
    <w:rsid w:val="48324A64"/>
    <w:rsid w:val="4880083A"/>
    <w:rsid w:val="48A203D1"/>
    <w:rsid w:val="48A51C70"/>
    <w:rsid w:val="48B40105"/>
    <w:rsid w:val="48BA485A"/>
    <w:rsid w:val="48DD161E"/>
    <w:rsid w:val="48E27ED4"/>
    <w:rsid w:val="48ED40CC"/>
    <w:rsid w:val="48FA124B"/>
    <w:rsid w:val="4900334A"/>
    <w:rsid w:val="493638F5"/>
    <w:rsid w:val="493C37CB"/>
    <w:rsid w:val="49491C6D"/>
    <w:rsid w:val="494E4420"/>
    <w:rsid w:val="49584F34"/>
    <w:rsid w:val="49635DB3"/>
    <w:rsid w:val="49787384"/>
    <w:rsid w:val="49881230"/>
    <w:rsid w:val="499A554C"/>
    <w:rsid w:val="49A63EF1"/>
    <w:rsid w:val="49CA2FD6"/>
    <w:rsid w:val="49DF5EA0"/>
    <w:rsid w:val="49EA2030"/>
    <w:rsid w:val="4A007AA5"/>
    <w:rsid w:val="4A24181A"/>
    <w:rsid w:val="4A603492"/>
    <w:rsid w:val="4A67194D"/>
    <w:rsid w:val="4A857FAB"/>
    <w:rsid w:val="4A92201C"/>
    <w:rsid w:val="4A965D14"/>
    <w:rsid w:val="4A9A1CA8"/>
    <w:rsid w:val="4A9B77CE"/>
    <w:rsid w:val="4AA91EEB"/>
    <w:rsid w:val="4AB62F3F"/>
    <w:rsid w:val="4AB83EDC"/>
    <w:rsid w:val="4AD93843"/>
    <w:rsid w:val="4AE56F6F"/>
    <w:rsid w:val="4B11413D"/>
    <w:rsid w:val="4B2E1A92"/>
    <w:rsid w:val="4B46773A"/>
    <w:rsid w:val="4B53507A"/>
    <w:rsid w:val="4B7851FE"/>
    <w:rsid w:val="4B8A1FEB"/>
    <w:rsid w:val="4B931AB6"/>
    <w:rsid w:val="4BB33A7C"/>
    <w:rsid w:val="4BE95D66"/>
    <w:rsid w:val="4C0B2731"/>
    <w:rsid w:val="4C34368B"/>
    <w:rsid w:val="4C433C79"/>
    <w:rsid w:val="4C5744FA"/>
    <w:rsid w:val="4C723B02"/>
    <w:rsid w:val="4C793B3F"/>
    <w:rsid w:val="4CA54934"/>
    <w:rsid w:val="4CB47586"/>
    <w:rsid w:val="4CD67C44"/>
    <w:rsid w:val="4CF01823"/>
    <w:rsid w:val="4CF85960"/>
    <w:rsid w:val="4CFD3C38"/>
    <w:rsid w:val="4D063625"/>
    <w:rsid w:val="4D2E06F8"/>
    <w:rsid w:val="4D31669E"/>
    <w:rsid w:val="4D381304"/>
    <w:rsid w:val="4D3C3D6C"/>
    <w:rsid w:val="4D4579D2"/>
    <w:rsid w:val="4D461C92"/>
    <w:rsid w:val="4D50664E"/>
    <w:rsid w:val="4D5F0F87"/>
    <w:rsid w:val="4D7E765F"/>
    <w:rsid w:val="4D9C72E8"/>
    <w:rsid w:val="4DA30E74"/>
    <w:rsid w:val="4DA67F04"/>
    <w:rsid w:val="4DAD7366"/>
    <w:rsid w:val="4DB72B71"/>
    <w:rsid w:val="4DBC1F35"/>
    <w:rsid w:val="4DD252B5"/>
    <w:rsid w:val="4DEC0901"/>
    <w:rsid w:val="4DEF2DAC"/>
    <w:rsid w:val="4DF45FAE"/>
    <w:rsid w:val="4DFA2A5E"/>
    <w:rsid w:val="4DFC58A8"/>
    <w:rsid w:val="4DFF27DE"/>
    <w:rsid w:val="4E06042B"/>
    <w:rsid w:val="4E1C6CB6"/>
    <w:rsid w:val="4E281379"/>
    <w:rsid w:val="4E2B70BB"/>
    <w:rsid w:val="4E2D4BE1"/>
    <w:rsid w:val="4E397660"/>
    <w:rsid w:val="4E5403C0"/>
    <w:rsid w:val="4E962786"/>
    <w:rsid w:val="4E965B76"/>
    <w:rsid w:val="4E9E163B"/>
    <w:rsid w:val="4EA06114"/>
    <w:rsid w:val="4EAA4484"/>
    <w:rsid w:val="4EAC0792"/>
    <w:rsid w:val="4EB124A8"/>
    <w:rsid w:val="4EBE5040"/>
    <w:rsid w:val="4EC01F84"/>
    <w:rsid w:val="4ECA6221"/>
    <w:rsid w:val="4ED65279"/>
    <w:rsid w:val="4EF660F6"/>
    <w:rsid w:val="4F184241"/>
    <w:rsid w:val="4F2935FA"/>
    <w:rsid w:val="4F2C6C47"/>
    <w:rsid w:val="4F563CC4"/>
    <w:rsid w:val="4F59638E"/>
    <w:rsid w:val="4F68030C"/>
    <w:rsid w:val="4F7E4217"/>
    <w:rsid w:val="4F806006"/>
    <w:rsid w:val="4FAD4335"/>
    <w:rsid w:val="4FB328BE"/>
    <w:rsid w:val="4FD07F1A"/>
    <w:rsid w:val="4FFD5A34"/>
    <w:rsid w:val="501058E7"/>
    <w:rsid w:val="50147B70"/>
    <w:rsid w:val="50180925"/>
    <w:rsid w:val="502012AA"/>
    <w:rsid w:val="5051105B"/>
    <w:rsid w:val="50717C27"/>
    <w:rsid w:val="507E34D2"/>
    <w:rsid w:val="50914178"/>
    <w:rsid w:val="50954C17"/>
    <w:rsid w:val="50A849F3"/>
    <w:rsid w:val="50B45146"/>
    <w:rsid w:val="50CE28D9"/>
    <w:rsid w:val="50D95AE2"/>
    <w:rsid w:val="50DE503B"/>
    <w:rsid w:val="50EA52AF"/>
    <w:rsid w:val="50EB6E18"/>
    <w:rsid w:val="50F24574"/>
    <w:rsid w:val="50F87728"/>
    <w:rsid w:val="5102404F"/>
    <w:rsid w:val="510D0C40"/>
    <w:rsid w:val="515B7CB7"/>
    <w:rsid w:val="517234D1"/>
    <w:rsid w:val="5174191B"/>
    <w:rsid w:val="51805883"/>
    <w:rsid w:val="519A258E"/>
    <w:rsid w:val="51A032F5"/>
    <w:rsid w:val="51AC406F"/>
    <w:rsid w:val="51BE2516"/>
    <w:rsid w:val="51D00ACA"/>
    <w:rsid w:val="51DA26DE"/>
    <w:rsid w:val="51E12B08"/>
    <w:rsid w:val="51EE3514"/>
    <w:rsid w:val="521F01B8"/>
    <w:rsid w:val="52287E4E"/>
    <w:rsid w:val="523D0E4F"/>
    <w:rsid w:val="52466271"/>
    <w:rsid w:val="525070F0"/>
    <w:rsid w:val="52555B21"/>
    <w:rsid w:val="525A4CC0"/>
    <w:rsid w:val="52672EE9"/>
    <w:rsid w:val="52680288"/>
    <w:rsid w:val="5276096C"/>
    <w:rsid w:val="527F3531"/>
    <w:rsid w:val="529C40E3"/>
    <w:rsid w:val="52A106B6"/>
    <w:rsid w:val="52A665A4"/>
    <w:rsid w:val="52C17709"/>
    <w:rsid w:val="52C901FD"/>
    <w:rsid w:val="52D27B05"/>
    <w:rsid w:val="52DD4E28"/>
    <w:rsid w:val="53207A2A"/>
    <w:rsid w:val="5345477B"/>
    <w:rsid w:val="5358625C"/>
    <w:rsid w:val="53764934"/>
    <w:rsid w:val="538878CA"/>
    <w:rsid w:val="538B52C1"/>
    <w:rsid w:val="538E7ED0"/>
    <w:rsid w:val="538F6F30"/>
    <w:rsid w:val="539D2BD1"/>
    <w:rsid w:val="539D6365"/>
    <w:rsid w:val="53A771E4"/>
    <w:rsid w:val="53AF1153"/>
    <w:rsid w:val="53B92A73"/>
    <w:rsid w:val="53BF536C"/>
    <w:rsid w:val="53C21167"/>
    <w:rsid w:val="53DC22CC"/>
    <w:rsid w:val="53F54ADB"/>
    <w:rsid w:val="54043367"/>
    <w:rsid w:val="540E1011"/>
    <w:rsid w:val="54212AF2"/>
    <w:rsid w:val="54244390"/>
    <w:rsid w:val="54387E3C"/>
    <w:rsid w:val="54556C40"/>
    <w:rsid w:val="54662BFB"/>
    <w:rsid w:val="547B03D3"/>
    <w:rsid w:val="548206B4"/>
    <w:rsid w:val="5486329D"/>
    <w:rsid w:val="54AC0744"/>
    <w:rsid w:val="54B74090"/>
    <w:rsid w:val="54BC08E2"/>
    <w:rsid w:val="54BC180C"/>
    <w:rsid w:val="54D1675D"/>
    <w:rsid w:val="54D97871"/>
    <w:rsid w:val="54EF765E"/>
    <w:rsid w:val="5503044A"/>
    <w:rsid w:val="550B72FE"/>
    <w:rsid w:val="550F3292"/>
    <w:rsid w:val="552163B1"/>
    <w:rsid w:val="55260B40"/>
    <w:rsid w:val="55346855"/>
    <w:rsid w:val="55376345"/>
    <w:rsid w:val="553E1482"/>
    <w:rsid w:val="55514205"/>
    <w:rsid w:val="556272DC"/>
    <w:rsid w:val="556A7CAD"/>
    <w:rsid w:val="5575284B"/>
    <w:rsid w:val="55833339"/>
    <w:rsid w:val="558F7F2F"/>
    <w:rsid w:val="55BC60DA"/>
    <w:rsid w:val="55C23E61"/>
    <w:rsid w:val="55DF4A13"/>
    <w:rsid w:val="55F711BD"/>
    <w:rsid w:val="55FB65AF"/>
    <w:rsid w:val="55FF3307"/>
    <w:rsid w:val="56051FA0"/>
    <w:rsid w:val="56075D18"/>
    <w:rsid w:val="560C4AF6"/>
    <w:rsid w:val="56203972"/>
    <w:rsid w:val="563C35DE"/>
    <w:rsid w:val="564C7BCE"/>
    <w:rsid w:val="5661367A"/>
    <w:rsid w:val="56617B1E"/>
    <w:rsid w:val="56722012"/>
    <w:rsid w:val="56836BF8"/>
    <w:rsid w:val="569577C7"/>
    <w:rsid w:val="569C2904"/>
    <w:rsid w:val="56A919CB"/>
    <w:rsid w:val="56BC4ADC"/>
    <w:rsid w:val="56C8194B"/>
    <w:rsid w:val="56F049FE"/>
    <w:rsid w:val="57011D19"/>
    <w:rsid w:val="57144B90"/>
    <w:rsid w:val="573B5599"/>
    <w:rsid w:val="574E52F4"/>
    <w:rsid w:val="57603931"/>
    <w:rsid w:val="5778511F"/>
    <w:rsid w:val="5789732C"/>
    <w:rsid w:val="57907FB6"/>
    <w:rsid w:val="57983D5A"/>
    <w:rsid w:val="57A35F14"/>
    <w:rsid w:val="57CF0C1D"/>
    <w:rsid w:val="580B5F93"/>
    <w:rsid w:val="58211582"/>
    <w:rsid w:val="583D0117"/>
    <w:rsid w:val="58445884"/>
    <w:rsid w:val="585A787C"/>
    <w:rsid w:val="58A27F7A"/>
    <w:rsid w:val="58CB4EB8"/>
    <w:rsid w:val="58F033DB"/>
    <w:rsid w:val="58F76517"/>
    <w:rsid w:val="590F622A"/>
    <w:rsid w:val="59276C38"/>
    <w:rsid w:val="592836CB"/>
    <w:rsid w:val="59301A29"/>
    <w:rsid w:val="595F118C"/>
    <w:rsid w:val="597436C4"/>
    <w:rsid w:val="59750444"/>
    <w:rsid w:val="59750523"/>
    <w:rsid w:val="597F50EE"/>
    <w:rsid w:val="599E13E5"/>
    <w:rsid w:val="59B419C2"/>
    <w:rsid w:val="59B53C70"/>
    <w:rsid w:val="59CA59DA"/>
    <w:rsid w:val="59CF4D9E"/>
    <w:rsid w:val="59E85E60"/>
    <w:rsid w:val="59FB2037"/>
    <w:rsid w:val="5A0B2AB3"/>
    <w:rsid w:val="5A0F163F"/>
    <w:rsid w:val="5A61799A"/>
    <w:rsid w:val="5A672C25"/>
    <w:rsid w:val="5A6929BD"/>
    <w:rsid w:val="5A8671CF"/>
    <w:rsid w:val="5A886D08"/>
    <w:rsid w:val="5AA63AD8"/>
    <w:rsid w:val="5AA86F2A"/>
    <w:rsid w:val="5AA910E6"/>
    <w:rsid w:val="5ABC71EA"/>
    <w:rsid w:val="5AC42429"/>
    <w:rsid w:val="5AC62645"/>
    <w:rsid w:val="5ACC5D4E"/>
    <w:rsid w:val="5AEC30BA"/>
    <w:rsid w:val="5AFA22EF"/>
    <w:rsid w:val="5B061FB8"/>
    <w:rsid w:val="5B1769FD"/>
    <w:rsid w:val="5B1A4C97"/>
    <w:rsid w:val="5B2230DD"/>
    <w:rsid w:val="5B2318C4"/>
    <w:rsid w:val="5B3C46B5"/>
    <w:rsid w:val="5B3F7D02"/>
    <w:rsid w:val="5B4A5024"/>
    <w:rsid w:val="5B4F6759"/>
    <w:rsid w:val="5B557525"/>
    <w:rsid w:val="5B602859"/>
    <w:rsid w:val="5B770B02"/>
    <w:rsid w:val="5BBA4E81"/>
    <w:rsid w:val="5BCF0BC7"/>
    <w:rsid w:val="5BE24306"/>
    <w:rsid w:val="5BFC633D"/>
    <w:rsid w:val="5C084598"/>
    <w:rsid w:val="5C1A3D31"/>
    <w:rsid w:val="5C4849EC"/>
    <w:rsid w:val="5C67089C"/>
    <w:rsid w:val="5C695707"/>
    <w:rsid w:val="5C8C261E"/>
    <w:rsid w:val="5C960896"/>
    <w:rsid w:val="5CCB6DE2"/>
    <w:rsid w:val="5CD86465"/>
    <w:rsid w:val="5CD86C32"/>
    <w:rsid w:val="5CF41992"/>
    <w:rsid w:val="5CF76AE6"/>
    <w:rsid w:val="5CFF599B"/>
    <w:rsid w:val="5D101956"/>
    <w:rsid w:val="5D1F603D"/>
    <w:rsid w:val="5D243653"/>
    <w:rsid w:val="5D333BB8"/>
    <w:rsid w:val="5D3E67A4"/>
    <w:rsid w:val="5D6072FA"/>
    <w:rsid w:val="5D610403"/>
    <w:rsid w:val="5D8440F2"/>
    <w:rsid w:val="5D897697"/>
    <w:rsid w:val="5D8F75B2"/>
    <w:rsid w:val="5DA53DDA"/>
    <w:rsid w:val="5DBA7B13"/>
    <w:rsid w:val="5DBB53EB"/>
    <w:rsid w:val="5DBE13B2"/>
    <w:rsid w:val="5DD66209"/>
    <w:rsid w:val="5DD92591"/>
    <w:rsid w:val="5DDE3802"/>
    <w:rsid w:val="5DE652CA"/>
    <w:rsid w:val="5DED7523"/>
    <w:rsid w:val="5E115985"/>
    <w:rsid w:val="5E1DA76F"/>
    <w:rsid w:val="5E1E6518"/>
    <w:rsid w:val="5E3C01E1"/>
    <w:rsid w:val="5E604B5F"/>
    <w:rsid w:val="5E7A3ADD"/>
    <w:rsid w:val="5E7E6D93"/>
    <w:rsid w:val="5E8545C5"/>
    <w:rsid w:val="5E960807"/>
    <w:rsid w:val="5E9B2FD6"/>
    <w:rsid w:val="5EB90B78"/>
    <w:rsid w:val="5EBB1D95"/>
    <w:rsid w:val="5EC821CA"/>
    <w:rsid w:val="5ED06112"/>
    <w:rsid w:val="5ED13F9A"/>
    <w:rsid w:val="5ED33999"/>
    <w:rsid w:val="5EDD1D0C"/>
    <w:rsid w:val="5F076D88"/>
    <w:rsid w:val="5F1119B5"/>
    <w:rsid w:val="5F2A460A"/>
    <w:rsid w:val="5F2F6443"/>
    <w:rsid w:val="5F721D78"/>
    <w:rsid w:val="5F724B4A"/>
    <w:rsid w:val="5F775150"/>
    <w:rsid w:val="5F7C32D2"/>
    <w:rsid w:val="5F950838"/>
    <w:rsid w:val="5FB52C88"/>
    <w:rsid w:val="5FB54A36"/>
    <w:rsid w:val="5FBF1411"/>
    <w:rsid w:val="5FC02CEE"/>
    <w:rsid w:val="5FC37153"/>
    <w:rsid w:val="5FC666B6"/>
    <w:rsid w:val="5FDB1852"/>
    <w:rsid w:val="5FDC557C"/>
    <w:rsid w:val="5FE0459E"/>
    <w:rsid w:val="5FF437B1"/>
    <w:rsid w:val="5FFF0AF7"/>
    <w:rsid w:val="600E6AA5"/>
    <w:rsid w:val="60432EC3"/>
    <w:rsid w:val="60487659"/>
    <w:rsid w:val="604D4D70"/>
    <w:rsid w:val="606621B4"/>
    <w:rsid w:val="607C6095"/>
    <w:rsid w:val="607D5A02"/>
    <w:rsid w:val="60894CFD"/>
    <w:rsid w:val="60B30855"/>
    <w:rsid w:val="60CB457F"/>
    <w:rsid w:val="60CE4002"/>
    <w:rsid w:val="60D3786A"/>
    <w:rsid w:val="60EF192E"/>
    <w:rsid w:val="60F872D1"/>
    <w:rsid w:val="6121185D"/>
    <w:rsid w:val="612748F5"/>
    <w:rsid w:val="612E2CF2"/>
    <w:rsid w:val="61471439"/>
    <w:rsid w:val="61631E3B"/>
    <w:rsid w:val="617E75CD"/>
    <w:rsid w:val="61965798"/>
    <w:rsid w:val="61AC29D7"/>
    <w:rsid w:val="61AE2511"/>
    <w:rsid w:val="61B7412F"/>
    <w:rsid w:val="61B96473"/>
    <w:rsid w:val="61C50446"/>
    <w:rsid w:val="61FD1537"/>
    <w:rsid w:val="620969A3"/>
    <w:rsid w:val="621912AD"/>
    <w:rsid w:val="62206ADF"/>
    <w:rsid w:val="622A1276"/>
    <w:rsid w:val="62424754"/>
    <w:rsid w:val="624949CE"/>
    <w:rsid w:val="624A590A"/>
    <w:rsid w:val="62571DD5"/>
    <w:rsid w:val="625C3674"/>
    <w:rsid w:val="625E13B5"/>
    <w:rsid w:val="62652DAE"/>
    <w:rsid w:val="626A4582"/>
    <w:rsid w:val="627209BD"/>
    <w:rsid w:val="62826007"/>
    <w:rsid w:val="629D4443"/>
    <w:rsid w:val="62AA63A9"/>
    <w:rsid w:val="62C30E7C"/>
    <w:rsid w:val="62CF5E0F"/>
    <w:rsid w:val="62D94C2E"/>
    <w:rsid w:val="62D96C8E"/>
    <w:rsid w:val="63097D09"/>
    <w:rsid w:val="6315739F"/>
    <w:rsid w:val="63185521"/>
    <w:rsid w:val="63284597"/>
    <w:rsid w:val="634C56B2"/>
    <w:rsid w:val="635F4FA4"/>
    <w:rsid w:val="636400E4"/>
    <w:rsid w:val="636E0BBA"/>
    <w:rsid w:val="63714235"/>
    <w:rsid w:val="6397692D"/>
    <w:rsid w:val="639B37D2"/>
    <w:rsid w:val="63AD5C13"/>
    <w:rsid w:val="63B75221"/>
    <w:rsid w:val="63C10DD3"/>
    <w:rsid w:val="63DC0122"/>
    <w:rsid w:val="6401649C"/>
    <w:rsid w:val="64025D70"/>
    <w:rsid w:val="640B2856"/>
    <w:rsid w:val="641F50FB"/>
    <w:rsid w:val="642409F7"/>
    <w:rsid w:val="64356228"/>
    <w:rsid w:val="644C515F"/>
    <w:rsid w:val="645A5BAC"/>
    <w:rsid w:val="645D6968"/>
    <w:rsid w:val="647106B3"/>
    <w:rsid w:val="64720239"/>
    <w:rsid w:val="647749B0"/>
    <w:rsid w:val="648A6492"/>
    <w:rsid w:val="64AD196E"/>
    <w:rsid w:val="64AD5EED"/>
    <w:rsid w:val="64B941CC"/>
    <w:rsid w:val="64B969F9"/>
    <w:rsid w:val="64C77CF5"/>
    <w:rsid w:val="64E02555"/>
    <w:rsid w:val="65051FBC"/>
    <w:rsid w:val="65480EA9"/>
    <w:rsid w:val="65541F1F"/>
    <w:rsid w:val="655939F1"/>
    <w:rsid w:val="65660CAD"/>
    <w:rsid w:val="656E2178"/>
    <w:rsid w:val="657A4758"/>
    <w:rsid w:val="65801643"/>
    <w:rsid w:val="6586374B"/>
    <w:rsid w:val="658A6AA3"/>
    <w:rsid w:val="65984BDE"/>
    <w:rsid w:val="65AD68DC"/>
    <w:rsid w:val="65B22539"/>
    <w:rsid w:val="65C23A09"/>
    <w:rsid w:val="65D57105"/>
    <w:rsid w:val="65F20792"/>
    <w:rsid w:val="65FE0FE0"/>
    <w:rsid w:val="65FF4C5D"/>
    <w:rsid w:val="66081D64"/>
    <w:rsid w:val="66110542"/>
    <w:rsid w:val="6611351E"/>
    <w:rsid w:val="66187ACD"/>
    <w:rsid w:val="661A55F3"/>
    <w:rsid w:val="66281440"/>
    <w:rsid w:val="6635242D"/>
    <w:rsid w:val="663967B1"/>
    <w:rsid w:val="66486604"/>
    <w:rsid w:val="669C1BC1"/>
    <w:rsid w:val="669E4EAC"/>
    <w:rsid w:val="66A31A8D"/>
    <w:rsid w:val="66AB26EF"/>
    <w:rsid w:val="66B10209"/>
    <w:rsid w:val="66B306C4"/>
    <w:rsid w:val="66FC4903"/>
    <w:rsid w:val="671E7365"/>
    <w:rsid w:val="67312A07"/>
    <w:rsid w:val="67332E10"/>
    <w:rsid w:val="67696832"/>
    <w:rsid w:val="67774553"/>
    <w:rsid w:val="677C3AAE"/>
    <w:rsid w:val="6788406E"/>
    <w:rsid w:val="67980EC5"/>
    <w:rsid w:val="679D472E"/>
    <w:rsid w:val="67B44068"/>
    <w:rsid w:val="67BF6452"/>
    <w:rsid w:val="67D10D0F"/>
    <w:rsid w:val="67D201EB"/>
    <w:rsid w:val="67D53EC8"/>
    <w:rsid w:val="67E0431B"/>
    <w:rsid w:val="680168E4"/>
    <w:rsid w:val="68376930"/>
    <w:rsid w:val="6853303E"/>
    <w:rsid w:val="68592F53"/>
    <w:rsid w:val="686B4ECE"/>
    <w:rsid w:val="68A17E46"/>
    <w:rsid w:val="68DA10C7"/>
    <w:rsid w:val="68EC14C9"/>
    <w:rsid w:val="68F61B92"/>
    <w:rsid w:val="69085BD7"/>
    <w:rsid w:val="692F0F24"/>
    <w:rsid w:val="696E2BFE"/>
    <w:rsid w:val="69AA5856"/>
    <w:rsid w:val="69AE49D0"/>
    <w:rsid w:val="69C2047C"/>
    <w:rsid w:val="69CC7F79"/>
    <w:rsid w:val="69D07E37"/>
    <w:rsid w:val="6A072332"/>
    <w:rsid w:val="6A0D4763"/>
    <w:rsid w:val="6A146EAE"/>
    <w:rsid w:val="6A220F1A"/>
    <w:rsid w:val="6A445D2E"/>
    <w:rsid w:val="6A694D9B"/>
    <w:rsid w:val="6A742635"/>
    <w:rsid w:val="6AA87672"/>
    <w:rsid w:val="6AD20B92"/>
    <w:rsid w:val="6AD730FA"/>
    <w:rsid w:val="6AD95A7D"/>
    <w:rsid w:val="6ADC556D"/>
    <w:rsid w:val="6AF40B09"/>
    <w:rsid w:val="6AFB3C45"/>
    <w:rsid w:val="6B500FD7"/>
    <w:rsid w:val="6B5275DD"/>
    <w:rsid w:val="6B5477F9"/>
    <w:rsid w:val="6B5F6F8D"/>
    <w:rsid w:val="6B625A72"/>
    <w:rsid w:val="6B6C069F"/>
    <w:rsid w:val="6B96700B"/>
    <w:rsid w:val="6BB01CA2"/>
    <w:rsid w:val="6BC858D7"/>
    <w:rsid w:val="6BC93D43"/>
    <w:rsid w:val="6BD85D34"/>
    <w:rsid w:val="6BF9674E"/>
    <w:rsid w:val="6BFD579B"/>
    <w:rsid w:val="6C007039"/>
    <w:rsid w:val="6C027255"/>
    <w:rsid w:val="6C461C02"/>
    <w:rsid w:val="6C5850C7"/>
    <w:rsid w:val="6C8B0FF9"/>
    <w:rsid w:val="6C974B08"/>
    <w:rsid w:val="6CA16A6E"/>
    <w:rsid w:val="6CAB51F7"/>
    <w:rsid w:val="6CBB796B"/>
    <w:rsid w:val="6CBF6EF4"/>
    <w:rsid w:val="6CDB5F08"/>
    <w:rsid w:val="6CDF186C"/>
    <w:rsid w:val="6CF86AAB"/>
    <w:rsid w:val="6CFE7A1D"/>
    <w:rsid w:val="6D216A86"/>
    <w:rsid w:val="6D315F87"/>
    <w:rsid w:val="6D397F7B"/>
    <w:rsid w:val="6D6145B2"/>
    <w:rsid w:val="6D837F22"/>
    <w:rsid w:val="6D8C27BB"/>
    <w:rsid w:val="6DB45C21"/>
    <w:rsid w:val="6DBE49E1"/>
    <w:rsid w:val="6DD24A05"/>
    <w:rsid w:val="6DE544DB"/>
    <w:rsid w:val="6DEE183F"/>
    <w:rsid w:val="6E042317"/>
    <w:rsid w:val="6E0A3A7A"/>
    <w:rsid w:val="6E106E9F"/>
    <w:rsid w:val="6E2D0841"/>
    <w:rsid w:val="6E3909F5"/>
    <w:rsid w:val="6E6D6A35"/>
    <w:rsid w:val="6E8C2696"/>
    <w:rsid w:val="6E91666F"/>
    <w:rsid w:val="6E9357AB"/>
    <w:rsid w:val="6E9A3775"/>
    <w:rsid w:val="6EB831BB"/>
    <w:rsid w:val="6ECB392F"/>
    <w:rsid w:val="6EE545FB"/>
    <w:rsid w:val="6F0357BE"/>
    <w:rsid w:val="6F094457"/>
    <w:rsid w:val="6F1169AE"/>
    <w:rsid w:val="6F2C4739"/>
    <w:rsid w:val="6F3E4C0A"/>
    <w:rsid w:val="6F581518"/>
    <w:rsid w:val="6F6B0F74"/>
    <w:rsid w:val="6FC34F4E"/>
    <w:rsid w:val="6FCC3E02"/>
    <w:rsid w:val="6FE67322"/>
    <w:rsid w:val="6FFA03B4"/>
    <w:rsid w:val="700E1F4F"/>
    <w:rsid w:val="705A140E"/>
    <w:rsid w:val="706202C3"/>
    <w:rsid w:val="70706983"/>
    <w:rsid w:val="707352C8"/>
    <w:rsid w:val="70781894"/>
    <w:rsid w:val="70B51498"/>
    <w:rsid w:val="70E646C2"/>
    <w:rsid w:val="71237A52"/>
    <w:rsid w:val="712D6B22"/>
    <w:rsid w:val="71406D2A"/>
    <w:rsid w:val="715E4F2E"/>
    <w:rsid w:val="71687CAF"/>
    <w:rsid w:val="7175291A"/>
    <w:rsid w:val="71784278"/>
    <w:rsid w:val="71940950"/>
    <w:rsid w:val="71A128C0"/>
    <w:rsid w:val="71A212BE"/>
    <w:rsid w:val="71C10AAB"/>
    <w:rsid w:val="71C823A7"/>
    <w:rsid w:val="71D21478"/>
    <w:rsid w:val="71D92FD5"/>
    <w:rsid w:val="71F176D9"/>
    <w:rsid w:val="7229553C"/>
    <w:rsid w:val="722F4D16"/>
    <w:rsid w:val="7276481E"/>
    <w:rsid w:val="72895FDA"/>
    <w:rsid w:val="728E1843"/>
    <w:rsid w:val="72A35306"/>
    <w:rsid w:val="72B6105F"/>
    <w:rsid w:val="72C67AFC"/>
    <w:rsid w:val="72C963D7"/>
    <w:rsid w:val="72E74AAF"/>
    <w:rsid w:val="731578E2"/>
    <w:rsid w:val="73185A45"/>
    <w:rsid w:val="73225EED"/>
    <w:rsid w:val="73247774"/>
    <w:rsid w:val="732B649B"/>
    <w:rsid w:val="733153F8"/>
    <w:rsid w:val="73441B83"/>
    <w:rsid w:val="73571C35"/>
    <w:rsid w:val="735A34D3"/>
    <w:rsid w:val="73651863"/>
    <w:rsid w:val="737547B1"/>
    <w:rsid w:val="737A5923"/>
    <w:rsid w:val="73DA7D66"/>
    <w:rsid w:val="73FF0ECC"/>
    <w:rsid w:val="7426655C"/>
    <w:rsid w:val="745368A0"/>
    <w:rsid w:val="745521E5"/>
    <w:rsid w:val="747131CA"/>
    <w:rsid w:val="7480128F"/>
    <w:rsid w:val="7491019A"/>
    <w:rsid w:val="74911176"/>
    <w:rsid w:val="749B567A"/>
    <w:rsid w:val="74C401D1"/>
    <w:rsid w:val="74CD0FDF"/>
    <w:rsid w:val="74DD0860"/>
    <w:rsid w:val="74DD71F6"/>
    <w:rsid w:val="74F837F7"/>
    <w:rsid w:val="74FF2584"/>
    <w:rsid w:val="750B66C0"/>
    <w:rsid w:val="75135BF2"/>
    <w:rsid w:val="752B6C54"/>
    <w:rsid w:val="752D5343"/>
    <w:rsid w:val="753C1867"/>
    <w:rsid w:val="754A0851"/>
    <w:rsid w:val="755D611A"/>
    <w:rsid w:val="75643D19"/>
    <w:rsid w:val="7564688B"/>
    <w:rsid w:val="75797539"/>
    <w:rsid w:val="759E1D9D"/>
    <w:rsid w:val="75A4312B"/>
    <w:rsid w:val="75B01174"/>
    <w:rsid w:val="75C8506C"/>
    <w:rsid w:val="75C95AC1"/>
    <w:rsid w:val="75D716AE"/>
    <w:rsid w:val="75E41876"/>
    <w:rsid w:val="75EB3D8D"/>
    <w:rsid w:val="75F220E9"/>
    <w:rsid w:val="762D6BDE"/>
    <w:rsid w:val="76403DD6"/>
    <w:rsid w:val="764B35A7"/>
    <w:rsid w:val="7650620D"/>
    <w:rsid w:val="76653089"/>
    <w:rsid w:val="766639F6"/>
    <w:rsid w:val="76725C62"/>
    <w:rsid w:val="767A7845"/>
    <w:rsid w:val="76880357"/>
    <w:rsid w:val="76912C94"/>
    <w:rsid w:val="76946CFC"/>
    <w:rsid w:val="76994A03"/>
    <w:rsid w:val="76A806BB"/>
    <w:rsid w:val="76D55E4D"/>
    <w:rsid w:val="76D72EF8"/>
    <w:rsid w:val="76DF4909"/>
    <w:rsid w:val="76FE78AE"/>
    <w:rsid w:val="77100A78"/>
    <w:rsid w:val="77130569"/>
    <w:rsid w:val="77336515"/>
    <w:rsid w:val="7756146B"/>
    <w:rsid w:val="777032C5"/>
    <w:rsid w:val="777C083C"/>
    <w:rsid w:val="779A2A38"/>
    <w:rsid w:val="77A0188E"/>
    <w:rsid w:val="77A80CB1"/>
    <w:rsid w:val="77DB5EEE"/>
    <w:rsid w:val="77DE2ECD"/>
    <w:rsid w:val="77F739E6"/>
    <w:rsid w:val="77FC15A0"/>
    <w:rsid w:val="78006D3F"/>
    <w:rsid w:val="78021C8C"/>
    <w:rsid w:val="781F6A99"/>
    <w:rsid w:val="784907D0"/>
    <w:rsid w:val="784F3822"/>
    <w:rsid w:val="78526E6F"/>
    <w:rsid w:val="78576349"/>
    <w:rsid w:val="785B1DE3"/>
    <w:rsid w:val="787A1FD8"/>
    <w:rsid w:val="78857244"/>
    <w:rsid w:val="789D458E"/>
    <w:rsid w:val="78A84CE1"/>
    <w:rsid w:val="78EF259F"/>
    <w:rsid w:val="78F00D9A"/>
    <w:rsid w:val="78F543CA"/>
    <w:rsid w:val="79002D6F"/>
    <w:rsid w:val="79112886"/>
    <w:rsid w:val="791829D1"/>
    <w:rsid w:val="79222CE5"/>
    <w:rsid w:val="794A6832"/>
    <w:rsid w:val="794F35FF"/>
    <w:rsid w:val="79813E95"/>
    <w:rsid w:val="79856DD0"/>
    <w:rsid w:val="798E6DF9"/>
    <w:rsid w:val="79956784"/>
    <w:rsid w:val="799A79A5"/>
    <w:rsid w:val="79B17666"/>
    <w:rsid w:val="79C30024"/>
    <w:rsid w:val="79C52F00"/>
    <w:rsid w:val="79D041B3"/>
    <w:rsid w:val="79E61838"/>
    <w:rsid w:val="79F30FA6"/>
    <w:rsid w:val="79F4112D"/>
    <w:rsid w:val="7A0423EA"/>
    <w:rsid w:val="7A0E5017"/>
    <w:rsid w:val="7A2664CF"/>
    <w:rsid w:val="7A3E58FC"/>
    <w:rsid w:val="7A433497"/>
    <w:rsid w:val="7A45029C"/>
    <w:rsid w:val="7A490C32"/>
    <w:rsid w:val="7A4D7EA7"/>
    <w:rsid w:val="7A5028E2"/>
    <w:rsid w:val="7A540C7C"/>
    <w:rsid w:val="7A6A04A0"/>
    <w:rsid w:val="7A712187"/>
    <w:rsid w:val="7A717D3B"/>
    <w:rsid w:val="7A792DD8"/>
    <w:rsid w:val="7A990D85"/>
    <w:rsid w:val="7AA339B1"/>
    <w:rsid w:val="7AA634A2"/>
    <w:rsid w:val="7AB14F4C"/>
    <w:rsid w:val="7AD20217"/>
    <w:rsid w:val="7ADD0F40"/>
    <w:rsid w:val="7ADF45DA"/>
    <w:rsid w:val="7AE758B9"/>
    <w:rsid w:val="7AFE6810"/>
    <w:rsid w:val="7B073F40"/>
    <w:rsid w:val="7B0B2E14"/>
    <w:rsid w:val="7B0E1773"/>
    <w:rsid w:val="7B2C4791"/>
    <w:rsid w:val="7B391F11"/>
    <w:rsid w:val="7B3B008E"/>
    <w:rsid w:val="7B583855"/>
    <w:rsid w:val="7B6018A2"/>
    <w:rsid w:val="7B980953"/>
    <w:rsid w:val="7B9A306C"/>
    <w:rsid w:val="7BA640F6"/>
    <w:rsid w:val="7BEC3033"/>
    <w:rsid w:val="7BED75DA"/>
    <w:rsid w:val="7C0C44D2"/>
    <w:rsid w:val="7C43229D"/>
    <w:rsid w:val="7C464F3C"/>
    <w:rsid w:val="7C5807CC"/>
    <w:rsid w:val="7C674348"/>
    <w:rsid w:val="7C743857"/>
    <w:rsid w:val="7C75312C"/>
    <w:rsid w:val="7C792C1C"/>
    <w:rsid w:val="7C8D66C7"/>
    <w:rsid w:val="7CA44918"/>
    <w:rsid w:val="7CA46979"/>
    <w:rsid w:val="7CA86CC2"/>
    <w:rsid w:val="7CB00608"/>
    <w:rsid w:val="7CB308F0"/>
    <w:rsid w:val="7CBD5F23"/>
    <w:rsid w:val="7CCC504D"/>
    <w:rsid w:val="7CD0642F"/>
    <w:rsid w:val="7CF404F4"/>
    <w:rsid w:val="7CF53F73"/>
    <w:rsid w:val="7CFC33D8"/>
    <w:rsid w:val="7D006D58"/>
    <w:rsid w:val="7D0F532E"/>
    <w:rsid w:val="7D1943FF"/>
    <w:rsid w:val="7D5176F5"/>
    <w:rsid w:val="7D647736"/>
    <w:rsid w:val="7D755AD9"/>
    <w:rsid w:val="7D8950E1"/>
    <w:rsid w:val="7D9B1FD1"/>
    <w:rsid w:val="7DBA05C7"/>
    <w:rsid w:val="7DD56578"/>
    <w:rsid w:val="7DDE038D"/>
    <w:rsid w:val="7DF32EA2"/>
    <w:rsid w:val="7DFD162B"/>
    <w:rsid w:val="7E046E5D"/>
    <w:rsid w:val="7E0C7AC0"/>
    <w:rsid w:val="7E127E42"/>
    <w:rsid w:val="7E200015"/>
    <w:rsid w:val="7E215030"/>
    <w:rsid w:val="7E2D4DD6"/>
    <w:rsid w:val="7E357016"/>
    <w:rsid w:val="7E4055DF"/>
    <w:rsid w:val="7E415A65"/>
    <w:rsid w:val="7E447259"/>
    <w:rsid w:val="7E4C6609"/>
    <w:rsid w:val="7E635932"/>
    <w:rsid w:val="7E6E5448"/>
    <w:rsid w:val="7E741A6A"/>
    <w:rsid w:val="7E8678A1"/>
    <w:rsid w:val="7E971A7F"/>
    <w:rsid w:val="7EAE5442"/>
    <w:rsid w:val="7ED24865"/>
    <w:rsid w:val="7EDE522C"/>
    <w:rsid w:val="7EE50A3C"/>
    <w:rsid w:val="7EE97321"/>
    <w:rsid w:val="7EF15125"/>
    <w:rsid w:val="7F092071"/>
    <w:rsid w:val="7F1B506E"/>
    <w:rsid w:val="7F2257ED"/>
    <w:rsid w:val="7F313CB6"/>
    <w:rsid w:val="7F4079CE"/>
    <w:rsid w:val="7F453289"/>
    <w:rsid w:val="7F460599"/>
    <w:rsid w:val="7F671451"/>
    <w:rsid w:val="7F7906C9"/>
    <w:rsid w:val="7F7F3B51"/>
    <w:rsid w:val="7F8A3392"/>
    <w:rsid w:val="7F954211"/>
    <w:rsid w:val="7F98785D"/>
    <w:rsid w:val="7FC44AF6"/>
    <w:rsid w:val="7FCE0033"/>
    <w:rsid w:val="7FD615F4"/>
    <w:rsid w:val="7FE93E1C"/>
    <w:rsid w:val="7FF363B9"/>
    <w:rsid w:val="7FFF6D97"/>
    <w:rsid w:val="A4FEF182"/>
    <w:rsid w:val="B5FFC9B1"/>
    <w:rsid w:val="BFFFED52"/>
    <w:rsid w:val="D9AF97F7"/>
    <w:rsid w:val="DF7BC255"/>
    <w:rsid w:val="E2A77F36"/>
    <w:rsid w:val="EDCBCB5E"/>
    <w:rsid w:val="EF7F0EB7"/>
    <w:rsid w:val="F7DF1356"/>
    <w:rsid w:val="FEFE64CF"/>
    <w:rsid w:val="FEFF7FCE"/>
    <w:rsid w:val="FF3F90FC"/>
    <w:rsid w:val="FFF9C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ind w:left="641" w:firstLine="0" w:firstLineChars="0"/>
      <w:outlineLvl w:val="1"/>
    </w:pPr>
    <w:rPr>
      <w:rFonts w:ascii="楷体_GB2312" w:hAnsi="楷体_GB2312" w:eastAsia="楷体_GB2312" w:cs="Times New Roman"/>
      <w:bCs/>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jc w:val="center"/>
    </w:pPr>
    <w:rPr>
      <w:sz w:val="44"/>
    </w:rPr>
  </w:style>
  <w:style w:type="paragraph" w:customStyle="1" w:styleId="8">
    <w:name w:val="Default"/>
    <w:next w:val="9"/>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9">
    <w:name w:val="表格文字"/>
    <w:basedOn w:val="1"/>
    <w:qFormat/>
    <w:uiPriority w:val="0"/>
    <w:pPr>
      <w:adjustRightInd w:val="0"/>
      <w:spacing w:line="420" w:lineRule="atLeast"/>
      <w:jc w:val="left"/>
      <w:textAlignment w:val="baseline"/>
    </w:pPr>
    <w:rPr>
      <w:kern w:val="0"/>
      <w:szCs w:val="20"/>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rPr>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character" w:customStyle="1" w:styleId="22">
    <w:name w:val="font31"/>
    <w:basedOn w:val="18"/>
    <w:qFormat/>
    <w:uiPriority w:val="0"/>
    <w:rPr>
      <w:rFonts w:ascii="仿宋" w:hAnsi="仿宋" w:eastAsia="仿宋" w:cs="仿宋"/>
      <w:color w:val="000000"/>
      <w:sz w:val="22"/>
      <w:szCs w:val="22"/>
      <w:u w:val="none"/>
    </w:rPr>
  </w:style>
  <w:style w:type="character" w:customStyle="1" w:styleId="23">
    <w:name w:val="font21"/>
    <w:basedOn w:val="18"/>
    <w:qFormat/>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19085</Words>
  <Characters>19272</Characters>
  <Lines>0</Lines>
  <Paragraphs>0</Paragraphs>
  <TotalTime>0</TotalTime>
  <ScaleCrop>false</ScaleCrop>
  <LinksUpToDate>false</LinksUpToDate>
  <CharactersWithSpaces>19421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2025-08-31T10:28:00Z</dcterms:created>
  <dc:creator>陈琛 Tiffany</dc:creator>
  <cp:lastModifiedBy>admin</cp:lastModifiedBy>
  <cp:lastPrinted>2026-01-04T08:30:00Z</cp:lastPrinted>
  <dcterms:modified xsi:type="dcterms:W3CDTF">2026-01-12T09:06:17Z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EAB2AE1EDBC54B49BCBFC1E787D87CDC_13</vt:lpwstr>
  </property>
  <property fmtid="{D5CDD505-2E9C-101B-9397-08002B2CF9AE}" pid="4" name="KSOTemplateDocerSaveRecord">
    <vt:lpwstr>eyJoZGlkIjoiYjhkMzg1ZDhhY2EyMmM0N2UzZDMzZjlkZTk3N2NiM2QiLCJ1c2VySWQiOiI0NTg5OTg0MTcifQ==</vt:lpwstr>
  </property>
</Properties>
</file>